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520" w:after="240" w:line="240" w:lineRule="auto"/>
        <w:jc w:val="center"/>
      </w:pPr>
      <w:r>
        <w:drawing>
          <wp:inline xmlns:a="http://schemas.openxmlformats.org/drawingml/2006/main" xmlns:pic="http://schemas.openxmlformats.org/drawingml/2006/picture">
            <wp:extent cx="1044000" cy="1023629"/>
            <wp:docPr id="1" name="Picture 1"/>
            <wp:cNvGraphicFramePr>
              <a:graphicFrameLocks noChangeAspect="1"/>
            </wp:cNvGraphicFramePr>
            <a:graphic>
              <a:graphicData uri="http://schemas.openxmlformats.org/drawingml/2006/picture">
                <pic:pic>
                  <pic:nvPicPr>
                    <pic:cNvPr id="0" name="logo-nbs.png"/>
                    <pic:cNvPicPr/>
                  </pic:nvPicPr>
                  <pic:blipFill>
                    <a:blip r:embed="rId9"/>
                    <a:stretch>
                      <a:fillRect/>
                    </a:stretch>
                  </pic:blipFill>
                  <pic:spPr>
                    <a:xfrm>
                      <a:off x="0" y="0"/>
                      <a:ext cx="1044000" cy="1023629"/>
                    </a:xfrm>
                    <a:prstGeom prst="rect"/>
                  </pic:spPr>
                </pic:pic>
              </a:graphicData>
            </a:graphic>
          </wp:inline>
        </w:drawing>
      </w:r>
    </w:p>
    <w:p>
      <w:pPr>
        <w:spacing w:line="240" w:lineRule="auto" w:before="0" w:after="0"/>
        <w:jc w:val="center"/>
      </w:pPr>
      <w:r>
        <w:rPr>
          <w:rFonts w:ascii="TH Sarabun New" w:hAnsi="TH Sarabun New" w:cs="TH Sarabun New" w:eastAsia="TH Sarabun New"/>
          <w:b/>
          <w:i w:val="0"/>
          <w:sz w:val="56"/>
          <w:szCs w:val="56"/>
        </w:rPr>
        <w:t>รายงานการศึกษากลุ่ม</w:t>
      </w:r>
    </w:p>
    <w:p>
      <w:pPr>
        <w:spacing w:line="240" w:lineRule="auto" w:before="0" w:after="560"/>
        <w:jc w:val="center"/>
      </w:pPr>
      <w:r>
        <w:rPr>
          <w:rFonts w:ascii="TH Sarabun New" w:hAnsi="TH Sarabun New" w:cs="TH Sarabun New" w:eastAsia="TH Sarabun New"/>
          <w:b/>
          <w:i w:val="0"/>
          <w:sz w:val="56"/>
          <w:szCs w:val="56"/>
        </w:rPr>
        <w:t>(Group Project)</w:t>
      </w:r>
    </w:p>
    <w:p>
      <w:pPr>
        <w:spacing w:line="240" w:lineRule="auto" w:before="0" w:after="80"/>
        <w:jc w:val="center"/>
      </w:pPr>
      <w:r>
        <w:rPr>
          <w:rFonts w:ascii="TH Sarabun New" w:hAnsi="TH Sarabun New" w:cs="TH Sarabun New" w:eastAsia="TH Sarabun New"/>
          <w:b/>
          <w:i w:val="0"/>
          <w:sz w:val="48"/>
          <w:szCs w:val="48"/>
        </w:rPr>
        <w:t>เรื่อง</w:t>
      </w:r>
    </w:p>
    <w:p>
      <w:pPr>
        <w:spacing w:line="276" w:lineRule="auto" w:before="0" w:after="560"/>
        <w:jc w:val="center"/>
      </w:pPr>
      <w:r>
        <w:rPr>
          <w:rFonts w:ascii="TH Sarabun New" w:hAnsi="TH Sarabun New" w:cs="TH Sarabun New" w:eastAsia="TH Sarabun New"/>
          <w:b/>
          <w:i w:val="0"/>
          <w:sz w:val="40"/>
          <w:szCs w:val="40"/>
        </w:rPr>
        <w:t>แนวทางการบูรณาการระบบคมนาคมขนส่งเพื่อเมืองยุคใหม่ ผ่านกรอบ 4 เสาหลัก โดยใช้จังหวัดสมุทรปราการเป็นพื้นที่นำร่อง</w:t>
      </w:r>
    </w:p>
    <w:p>
      <w:pPr>
        <w:spacing w:line="240" w:lineRule="auto" w:before="0" w:after="800"/>
        <w:jc w:val="center"/>
      </w:pPr>
      <w:r>
        <w:rPr>
          <w:rFonts w:ascii="TH Sarabun New" w:hAnsi="TH Sarabun New" w:cs="TH Sarabun New" w:eastAsia="TH Sarabun New"/>
          <w:b/>
          <w:i w:val="0"/>
          <w:sz w:val="48"/>
          <w:szCs w:val="48"/>
        </w:rPr>
        <w:t>จัดทำโดย กลุ่มที่ ......... รุ่นที่ 8</w:t>
      </w:r>
    </w:p>
    <w:p>
      <w:pPr>
        <w:spacing w:line="240" w:lineRule="auto" w:before="0" w:after="0"/>
        <w:jc w:val="center"/>
      </w:pPr>
      <w:r>
        <w:rPr>
          <w:rFonts w:ascii="TH Sarabun New" w:hAnsi="TH Sarabun New" w:cs="TH Sarabun New" w:eastAsia="TH Sarabun New"/>
          <w:b/>
          <w:i w:val="0"/>
          <w:sz w:val="44"/>
          <w:szCs w:val="44"/>
        </w:rPr>
        <w:t>รายงานนี้เป็นส่วนหนึ่งของการฝึกอบรม</w:t>
      </w:r>
    </w:p>
    <w:p>
      <w:pPr>
        <w:spacing w:line="240" w:lineRule="auto" w:before="0" w:after="0"/>
        <w:jc w:val="center"/>
      </w:pPr>
      <w:r>
        <w:rPr>
          <w:rFonts w:ascii="TH Sarabun New" w:hAnsi="TH Sarabun New" w:cs="TH Sarabun New" w:eastAsia="TH Sarabun New"/>
          <w:b/>
          <w:i w:val="0"/>
          <w:sz w:val="44"/>
          <w:szCs w:val="44"/>
        </w:rPr>
        <w:t>หลักสูตร นักบริหารระดับสูงกระทรวงคมนาคม (นบส.คค.) รุ่นที่ 8</w:t>
      </w:r>
    </w:p>
    <w:p>
      <w:pPr>
        <w:spacing w:line="240" w:lineRule="auto" w:before="0" w:after="0"/>
        <w:jc w:val="center"/>
      </w:pPr>
      <w:r>
        <w:rPr>
          <w:rFonts w:ascii="TH Sarabun New" w:hAnsi="TH Sarabun New" w:cs="TH Sarabun New" w:eastAsia="TH Sarabun New"/>
          <w:b/>
          <w:i w:val="0"/>
          <w:sz w:val="44"/>
          <w:szCs w:val="44"/>
        </w:rPr>
        <w:t>ประจำปี 2569</w:t>
      </w:r>
    </w:p>
    <w:p>
      <w:pPr>
        <w:spacing w:line="240" w:lineRule="auto" w:before="0" w:after="0"/>
        <w:jc w:val="center"/>
      </w:pPr>
      <w:r>
        <w:rPr>
          <w:rFonts w:ascii="TH Sarabun New" w:hAnsi="TH Sarabun New" w:cs="TH Sarabun New" w:eastAsia="TH Sarabun New"/>
          <w:b/>
          <w:i w:val="0"/>
          <w:sz w:val="44"/>
          <w:szCs w:val="44"/>
        </w:rPr>
        <w:t>ลิขสิทธิ์ของกระทรวงคมนาคม</w:t>
      </w:r>
    </w:p>
    <w:p>
      <w:r>
        <w:br w:type="page"/>
      </w:r>
    </w:p>
    <w:p>
      <w:pPr>
        <w:spacing w:before="360" w:after="200" w:line="240" w:lineRule="auto"/>
        <w:jc w:val="center"/>
      </w:pPr>
      <w:r>
        <w:drawing>
          <wp:inline xmlns:a="http://schemas.openxmlformats.org/drawingml/2006/main" xmlns:pic="http://schemas.openxmlformats.org/drawingml/2006/picture">
            <wp:extent cx="827999" cy="811843"/>
            <wp:docPr id="2" name="Picture 2"/>
            <wp:cNvGraphicFramePr>
              <a:graphicFrameLocks noChangeAspect="1"/>
            </wp:cNvGraphicFramePr>
            <a:graphic>
              <a:graphicData uri="http://schemas.openxmlformats.org/drawingml/2006/picture">
                <pic:pic>
                  <pic:nvPicPr>
                    <pic:cNvPr id="0" name="logo-nbs.png"/>
                    <pic:cNvPicPr/>
                  </pic:nvPicPr>
                  <pic:blipFill>
                    <a:blip r:embed="rId9"/>
                    <a:stretch>
                      <a:fillRect/>
                    </a:stretch>
                  </pic:blipFill>
                  <pic:spPr>
                    <a:xfrm>
                      <a:off x="0" y="0"/>
                      <a:ext cx="827999" cy="811843"/>
                    </a:xfrm>
                    <a:prstGeom prst="rect"/>
                  </pic:spPr>
                </pic:pic>
              </a:graphicData>
            </a:graphic>
          </wp:inline>
        </w:drawing>
      </w:r>
    </w:p>
    <w:p>
      <w:pPr>
        <w:spacing w:line="240" w:lineRule="auto" w:before="0" w:after="0"/>
        <w:jc w:val="center"/>
      </w:pPr>
      <w:r>
        <w:rPr>
          <w:rFonts w:ascii="TH Sarabun New" w:hAnsi="TH Sarabun New" w:cs="TH Sarabun New" w:eastAsia="TH Sarabun New"/>
          <w:b/>
          <w:i w:val="0"/>
          <w:sz w:val="48"/>
          <w:szCs w:val="48"/>
        </w:rPr>
        <w:t>รายงานการศึกษากลุ่ม</w:t>
      </w:r>
    </w:p>
    <w:p>
      <w:pPr>
        <w:spacing w:line="240" w:lineRule="auto" w:before="0" w:after="440"/>
        <w:jc w:val="center"/>
      </w:pPr>
      <w:r>
        <w:rPr>
          <w:rFonts w:ascii="TH Sarabun New" w:hAnsi="TH Sarabun New" w:cs="TH Sarabun New" w:eastAsia="TH Sarabun New"/>
          <w:b/>
          <w:i w:val="0"/>
          <w:sz w:val="48"/>
          <w:szCs w:val="48"/>
        </w:rPr>
        <w:t>(Group Project)</w:t>
      </w:r>
    </w:p>
    <w:p>
      <w:pPr>
        <w:spacing w:line="240" w:lineRule="auto" w:before="0" w:after="80"/>
        <w:jc w:val="center"/>
      </w:pPr>
      <w:r>
        <w:rPr>
          <w:rFonts w:ascii="TH Sarabun New" w:hAnsi="TH Sarabun New" w:cs="TH Sarabun New" w:eastAsia="TH Sarabun New"/>
          <w:b/>
          <w:i w:val="0"/>
          <w:sz w:val="40"/>
          <w:szCs w:val="40"/>
        </w:rPr>
        <w:t>เรื่อง</w:t>
      </w:r>
    </w:p>
    <w:p>
      <w:pPr>
        <w:spacing w:line="264" w:lineRule="auto" w:before="0" w:after="440"/>
        <w:jc w:val="center"/>
      </w:pPr>
      <w:r>
        <w:rPr>
          <w:rFonts w:ascii="TH Sarabun New" w:hAnsi="TH Sarabun New" w:cs="TH Sarabun New" w:eastAsia="TH Sarabun New"/>
          <w:b/>
          <w:i w:val="0"/>
          <w:sz w:val="36"/>
          <w:szCs w:val="36"/>
        </w:rPr>
        <w:t>แนวทางการบูรณาการระบบคมนาคมขนส่งเพื่อเมืองยุคใหม่ ผ่านกรอบ 4 เสาหลัก โดยใช้จังหวัดสมุทรปราการเป็นพื้นที่นำร่อง</w:t>
      </w:r>
    </w:p>
    <w:p>
      <w:pPr>
        <w:spacing w:line="240" w:lineRule="auto" w:before="0" w:after="200"/>
        <w:jc w:val="center"/>
      </w:pPr>
      <w:r>
        <w:rPr>
          <w:rFonts w:ascii="TH Sarabun New" w:hAnsi="TH Sarabun New" w:cs="TH Sarabun New" w:eastAsia="TH Sarabun New"/>
          <w:b/>
          <w:i w:val="0"/>
          <w:sz w:val="40"/>
          <w:szCs w:val="40"/>
        </w:rPr>
        <w:t>จัดทำโดย กลุ่มที่ ......... รุ่นที่ 8</w:t>
      </w:r>
    </w:p>
    <w:p>
      <w:pPr>
        <w:spacing w:line="240" w:lineRule="auto" w:before="0" w:after="60"/>
        <w:jc w:val="center"/>
      </w:pPr>
      <w:r>
        <w:rPr>
          <w:rFonts w:ascii="TH Sarabun New" w:hAnsi="TH Sarabun New" w:cs="TH Sarabun New" w:eastAsia="TH Sarabun New"/>
          <w:b w:val="0"/>
          <w:i w:val="0"/>
          <w:sz w:val="32"/>
          <w:szCs w:val="32"/>
        </w:rPr>
        <w:t>1. ชื่อ ............................. นามสกุล .............................</w:t>
      </w:r>
    </w:p>
    <w:p>
      <w:pPr>
        <w:spacing w:line="240" w:lineRule="auto" w:before="0" w:after="60"/>
        <w:jc w:val="center"/>
      </w:pPr>
      <w:r>
        <w:rPr>
          <w:rFonts w:ascii="TH Sarabun New" w:hAnsi="TH Sarabun New" w:cs="TH Sarabun New" w:eastAsia="TH Sarabun New"/>
          <w:b w:val="0"/>
          <w:i w:val="0"/>
          <w:sz w:val="32"/>
          <w:szCs w:val="32"/>
        </w:rPr>
        <w:t>2. ชื่อ ............................. นามสกุล .............................</w:t>
      </w:r>
    </w:p>
    <w:p>
      <w:pPr>
        <w:spacing w:line="240" w:lineRule="auto" w:before="0" w:after="60"/>
        <w:jc w:val="center"/>
      </w:pPr>
      <w:r>
        <w:rPr>
          <w:rFonts w:ascii="TH Sarabun New" w:hAnsi="TH Sarabun New" w:cs="TH Sarabun New" w:eastAsia="TH Sarabun New"/>
          <w:b w:val="0"/>
          <w:i w:val="0"/>
          <w:sz w:val="32"/>
          <w:szCs w:val="32"/>
        </w:rPr>
        <w:t>3. ชื่อ ............................. นามสกุล .............................</w:t>
      </w:r>
    </w:p>
    <w:p>
      <w:pPr>
        <w:spacing w:line="240" w:lineRule="auto" w:before="0" w:after="60"/>
        <w:jc w:val="center"/>
      </w:pPr>
      <w:r>
        <w:rPr>
          <w:rFonts w:ascii="TH Sarabun New" w:hAnsi="TH Sarabun New" w:cs="TH Sarabun New" w:eastAsia="TH Sarabun New"/>
          <w:b w:val="0"/>
          <w:i w:val="0"/>
          <w:sz w:val="32"/>
          <w:szCs w:val="32"/>
        </w:rPr>
        <w:t>4. ชื่อ ............................. นามสกุล .............................</w:t>
      </w:r>
    </w:p>
    <w:p>
      <w:pPr>
        <w:spacing w:line="240" w:lineRule="auto" w:before="0" w:after="60"/>
        <w:jc w:val="center"/>
      </w:pPr>
      <w:r>
        <w:rPr>
          <w:rFonts w:ascii="TH Sarabun New" w:hAnsi="TH Sarabun New" w:cs="TH Sarabun New" w:eastAsia="TH Sarabun New"/>
          <w:b w:val="0"/>
          <w:i w:val="0"/>
          <w:sz w:val="32"/>
          <w:szCs w:val="32"/>
        </w:rPr>
        <w:t>5. ชื่อ ............................. นามสกุล .............................</w:t>
      </w:r>
    </w:p>
    <w:p>
      <w:pPr>
        <w:spacing w:line="240" w:lineRule="auto" w:before="0" w:after="60"/>
        <w:jc w:val="center"/>
      </w:pPr>
      <w:r>
        <w:rPr>
          <w:rFonts w:ascii="TH Sarabun New" w:hAnsi="TH Sarabun New" w:cs="TH Sarabun New" w:eastAsia="TH Sarabun New"/>
          <w:b w:val="0"/>
          <w:i w:val="0"/>
          <w:sz w:val="32"/>
          <w:szCs w:val="32"/>
        </w:rPr>
        <w:t>6. ชื่อ ............................. นามสกุล .............................</w:t>
      </w:r>
    </w:p>
    <w:p>
      <w:pPr>
        <w:spacing w:line="240" w:lineRule="auto" w:before="0" w:after="60"/>
        <w:jc w:val="center"/>
      </w:pPr>
      <w:r>
        <w:rPr>
          <w:rFonts w:ascii="TH Sarabun New" w:hAnsi="TH Sarabun New" w:cs="TH Sarabun New" w:eastAsia="TH Sarabun New"/>
          <w:b w:val="0"/>
          <w:i w:val="0"/>
          <w:sz w:val="32"/>
          <w:szCs w:val="32"/>
        </w:rPr>
        <w:t>7. ชื่อ ............................. นามสกุล .............................</w:t>
      </w:r>
    </w:p>
    <w:p>
      <w:pPr>
        <w:spacing w:line="240" w:lineRule="auto" w:before="440" w:after="0"/>
        <w:jc w:val="center"/>
      </w:pPr>
      <w:r>
        <w:rPr>
          <w:rFonts w:ascii="TH Sarabun New" w:hAnsi="TH Sarabun New" w:cs="TH Sarabun New" w:eastAsia="TH Sarabun New"/>
          <w:b/>
          <w:i w:val="0"/>
          <w:sz w:val="44"/>
          <w:szCs w:val="44"/>
        </w:rPr>
        <w:t>รายงานนี้เป็นส่วนหนึ่งของการฝึกอบรม</w:t>
      </w:r>
    </w:p>
    <w:p>
      <w:pPr>
        <w:spacing w:line="240" w:lineRule="auto" w:before="0" w:after="0"/>
        <w:jc w:val="center"/>
      </w:pPr>
      <w:r>
        <w:rPr>
          <w:rFonts w:ascii="TH Sarabun New" w:hAnsi="TH Sarabun New" w:cs="TH Sarabun New" w:eastAsia="TH Sarabun New"/>
          <w:b/>
          <w:i w:val="0"/>
          <w:sz w:val="44"/>
          <w:szCs w:val="44"/>
        </w:rPr>
        <w:t>หลักสูตร นักบริหารระดับสูงกระทรวงคมนาคม (นบส.คค.) รุ่นที่ 8</w:t>
      </w:r>
    </w:p>
    <w:p>
      <w:pPr>
        <w:spacing w:line="240" w:lineRule="auto" w:before="0" w:after="400"/>
        <w:jc w:val="center"/>
      </w:pPr>
      <w:r>
        <w:rPr>
          <w:rFonts w:ascii="TH Sarabun New" w:hAnsi="TH Sarabun New" w:cs="TH Sarabun New" w:eastAsia="TH Sarabun New"/>
          <w:b/>
          <w:i w:val="0"/>
          <w:sz w:val="44"/>
          <w:szCs w:val="44"/>
        </w:rPr>
        <w:t>ประจำปี 2569</w:t>
      </w:r>
    </w:p>
    <w:p>
      <w:pPr>
        <w:spacing w:line="240" w:lineRule="auto" w:before="0" w:after="0"/>
        <w:jc w:val="center"/>
      </w:pPr>
      <w:r>
        <w:rPr>
          <w:rFonts w:ascii="TH Sarabun New" w:hAnsi="TH Sarabun New" w:cs="TH Sarabun New" w:eastAsia="TH Sarabun New"/>
          <w:b/>
          <w:i w:val="0"/>
          <w:sz w:val="44"/>
          <w:szCs w:val="44"/>
        </w:rPr>
        <w:t>กระทรวงคมนาคม</w:t>
      </w:r>
    </w:p>
    <w:p>
      <w:r>
        <w:br w:type="page"/>
      </w:r>
    </w:p>
    <w:p>
      <w:pPr>
        <w:spacing w:before="480" w:after="280" w:line="240" w:lineRule="auto"/>
        <w:jc w:val="center"/>
      </w:pPr>
      <w:r>
        <w:drawing>
          <wp:inline xmlns:a="http://schemas.openxmlformats.org/drawingml/2006/main" xmlns:pic="http://schemas.openxmlformats.org/drawingml/2006/picture">
            <wp:extent cx="900000" cy="882439"/>
            <wp:docPr id="3" name="Picture 3"/>
            <wp:cNvGraphicFramePr>
              <a:graphicFrameLocks noChangeAspect="1"/>
            </wp:cNvGraphicFramePr>
            <a:graphic>
              <a:graphicData uri="http://schemas.openxmlformats.org/drawingml/2006/picture">
                <pic:pic>
                  <pic:nvPicPr>
                    <pic:cNvPr id="0" name="logo-nbs.png"/>
                    <pic:cNvPicPr/>
                  </pic:nvPicPr>
                  <pic:blipFill>
                    <a:blip r:embed="rId9"/>
                    <a:stretch>
                      <a:fillRect/>
                    </a:stretch>
                  </pic:blipFill>
                  <pic:spPr>
                    <a:xfrm>
                      <a:off x="0" y="0"/>
                      <a:ext cx="900000" cy="882439"/>
                    </a:xfrm>
                    <a:prstGeom prst="rect"/>
                  </pic:spPr>
                </pic:pic>
              </a:graphicData>
            </a:graphic>
          </wp:inline>
        </w:drawing>
      </w:r>
    </w:p>
    <w:p>
      <w:pPr>
        <w:spacing w:line="240" w:lineRule="auto" w:before="0" w:after="40"/>
        <w:jc w:val="center"/>
      </w:pPr>
      <w:r>
        <w:rPr>
          <w:rFonts w:ascii="TH Sarabun New" w:hAnsi="TH Sarabun New" w:cs="TH Sarabun New" w:eastAsia="TH Sarabun New"/>
          <w:b/>
          <w:i w:val="0"/>
          <w:sz w:val="36"/>
          <w:szCs w:val="36"/>
        </w:rPr>
        <w:t>(หน้าอนุมัติ)</w:t>
      </w:r>
    </w:p>
    <w:p>
      <w:pPr>
        <w:spacing w:line="240" w:lineRule="auto" w:before="0" w:after="480"/>
        <w:jc w:val="center"/>
      </w:pPr>
      <w:r>
        <w:rPr>
          <w:rFonts w:ascii="TH Sarabun New" w:hAnsi="TH Sarabun New" w:cs="TH Sarabun New" w:eastAsia="TH Sarabun New"/>
          <w:b/>
          <w:i w:val="0"/>
          <w:sz w:val="36"/>
          <w:szCs w:val="36"/>
        </w:rPr>
        <w:t>กระทรวงคมนาคม</w:t>
      </w:r>
    </w:p>
    <w:p>
      <w:pPr>
        <w:spacing w:line="240" w:lineRule="auto" w:after="0"/>
        <w:jc w:val="left"/>
      </w:pPr>
      <w:r>
        <w:rPr>
          <w:rFonts w:ascii="TH Sarabun New" w:hAnsi="TH Sarabun New" w:cs="TH Sarabun New" w:eastAsia="TH Sarabun New"/>
          <w:b w:val="0"/>
          <w:i w:val="0"/>
          <w:sz w:val="32"/>
          <w:szCs w:val="32"/>
        </w:rPr>
        <w:t>เอกสารรายงานการศึกษากลุ่มนี้ อนุมัติให้เป็นส่วนหนึ่งของการฝึกอบรมหลักสูตรนักบริหารระดับสูงกระทรวงคมนาคม (นบส.คค.) รุ่นที่ 8 ประจำปี 2569</w:t>
      </w:r>
    </w:p>
    <w:p>
      <w:pPr>
        <w:spacing w:line="240" w:lineRule="auto" w:before="0" w:after="0"/>
        <w:jc w:val="left"/>
      </w:pPr>
    </w:p>
    <w:p>
      <w:pPr>
        <w:spacing w:line="240" w:lineRule="auto" w:before="0" w:after="0"/>
        <w:jc w:val="left"/>
      </w:pPr>
    </w:p>
    <w:p>
      <w:pPr>
        <w:spacing w:line="240" w:lineRule="auto" w:before="200" w:after="40"/>
        <w:jc w:val="center"/>
      </w:pPr>
      <w:r>
        <w:rPr>
          <w:rFonts w:ascii="TH Sarabun New" w:hAnsi="TH Sarabun New" w:cs="TH Sarabun New" w:eastAsia="TH Sarabun New"/>
          <w:b w:val="0"/>
          <w:i w:val="0"/>
          <w:sz w:val="32"/>
          <w:szCs w:val="32"/>
        </w:rPr>
        <w:t>ลงชื่อ .....................................................................</w:t>
      </w:r>
    </w:p>
    <w:p>
      <w:pPr>
        <w:spacing w:line="240" w:lineRule="auto" w:before="0" w:after="40"/>
        <w:jc w:val="center"/>
      </w:pPr>
      <w:r>
        <w:rPr>
          <w:rFonts w:ascii="TH Sarabun New" w:hAnsi="TH Sarabun New" w:cs="TH Sarabun New" w:eastAsia="TH Sarabun New"/>
          <w:b w:val="0"/>
          <w:i w:val="0"/>
          <w:sz w:val="32"/>
          <w:szCs w:val="32"/>
        </w:rPr>
        <w:t>( .................................................................... )</w:t>
      </w:r>
    </w:p>
    <w:p>
      <w:pPr>
        <w:spacing w:line="240" w:lineRule="auto" w:before="0" w:after="80"/>
        <w:jc w:val="center"/>
      </w:pPr>
      <w:r>
        <w:rPr>
          <w:rFonts w:ascii="TH Sarabun New" w:hAnsi="TH Sarabun New" w:cs="TH Sarabun New" w:eastAsia="TH Sarabun New"/>
          <w:b w:val="0"/>
          <w:i w:val="0"/>
          <w:sz w:val="32"/>
          <w:szCs w:val="32"/>
        </w:rPr>
        <w:t>อาจารย์ที่ปรึกษา</w:t>
      </w:r>
    </w:p>
    <w:p>
      <w:pPr>
        <w:spacing w:line="240" w:lineRule="auto" w:before="200" w:after="40"/>
        <w:jc w:val="center"/>
      </w:pPr>
      <w:r>
        <w:rPr>
          <w:rFonts w:ascii="TH Sarabun New" w:hAnsi="TH Sarabun New" w:cs="TH Sarabun New" w:eastAsia="TH Sarabun New"/>
          <w:b w:val="0"/>
          <w:i w:val="0"/>
          <w:sz w:val="32"/>
          <w:szCs w:val="32"/>
        </w:rPr>
        <w:t>ลงชื่อ .....................................................................</w:t>
      </w:r>
    </w:p>
    <w:p>
      <w:pPr>
        <w:spacing w:line="240" w:lineRule="auto" w:before="0" w:after="40"/>
        <w:jc w:val="center"/>
      </w:pPr>
      <w:r>
        <w:rPr>
          <w:rFonts w:ascii="TH Sarabun New" w:hAnsi="TH Sarabun New" w:cs="TH Sarabun New" w:eastAsia="TH Sarabun New"/>
          <w:b w:val="0"/>
          <w:i w:val="0"/>
          <w:sz w:val="32"/>
          <w:szCs w:val="32"/>
        </w:rPr>
        <w:t>( .................................................................... )</w:t>
      </w:r>
    </w:p>
    <w:p>
      <w:pPr>
        <w:spacing w:line="240" w:lineRule="auto" w:before="0" w:after="80"/>
        <w:jc w:val="center"/>
      </w:pPr>
      <w:r>
        <w:rPr>
          <w:rFonts w:ascii="TH Sarabun New" w:hAnsi="TH Sarabun New" w:cs="TH Sarabun New" w:eastAsia="TH Sarabun New"/>
          <w:b w:val="0"/>
          <w:i w:val="0"/>
          <w:sz w:val="32"/>
          <w:szCs w:val="32"/>
        </w:rPr>
        <w:t>คณะกรรมการวิพากษ์</w:t>
      </w:r>
    </w:p>
    <w:p>
      <w:pPr>
        <w:spacing w:line="240" w:lineRule="auto" w:before="200" w:after="40"/>
        <w:jc w:val="center"/>
      </w:pPr>
      <w:r>
        <w:rPr>
          <w:rFonts w:ascii="TH Sarabun New" w:hAnsi="TH Sarabun New" w:cs="TH Sarabun New" w:eastAsia="TH Sarabun New"/>
          <w:b w:val="0"/>
          <w:i w:val="0"/>
          <w:sz w:val="32"/>
          <w:szCs w:val="32"/>
        </w:rPr>
        <w:t>ลงชื่อ .....................................................................</w:t>
      </w:r>
    </w:p>
    <w:p>
      <w:pPr>
        <w:spacing w:line="240" w:lineRule="auto" w:before="0" w:after="40"/>
        <w:jc w:val="center"/>
      </w:pPr>
      <w:r>
        <w:rPr>
          <w:rFonts w:ascii="TH Sarabun New" w:hAnsi="TH Sarabun New" w:cs="TH Sarabun New" w:eastAsia="TH Sarabun New"/>
          <w:b w:val="0"/>
          <w:i w:val="0"/>
          <w:sz w:val="32"/>
          <w:szCs w:val="32"/>
        </w:rPr>
        <w:t>( .................................................................... )</w:t>
      </w:r>
    </w:p>
    <w:p>
      <w:pPr>
        <w:spacing w:line="240" w:lineRule="auto" w:before="0" w:after="80"/>
        <w:jc w:val="center"/>
      </w:pPr>
      <w:r>
        <w:rPr>
          <w:rFonts w:ascii="TH Sarabun New" w:hAnsi="TH Sarabun New" w:cs="TH Sarabun New" w:eastAsia="TH Sarabun New"/>
          <w:b w:val="0"/>
          <w:i w:val="0"/>
          <w:sz w:val="32"/>
          <w:szCs w:val="32"/>
        </w:rPr>
        <w:t>คณะกรรมการวิพากษ์</w:t>
      </w:r>
    </w:p>
    <w:p>
      <w:pPr>
        <w:spacing w:line="240" w:lineRule="auto" w:before="200" w:after="40"/>
        <w:jc w:val="center"/>
      </w:pPr>
      <w:r>
        <w:rPr>
          <w:rFonts w:ascii="TH Sarabun New" w:hAnsi="TH Sarabun New" w:cs="TH Sarabun New" w:eastAsia="TH Sarabun New"/>
          <w:b w:val="0"/>
          <w:i w:val="0"/>
          <w:sz w:val="32"/>
          <w:szCs w:val="32"/>
        </w:rPr>
        <w:t>ลงชื่อ .....................................................................</w:t>
      </w:r>
    </w:p>
    <w:p>
      <w:pPr>
        <w:spacing w:line="240" w:lineRule="auto" w:before="0" w:after="40"/>
        <w:jc w:val="center"/>
      </w:pPr>
      <w:r>
        <w:rPr>
          <w:rFonts w:ascii="TH Sarabun New" w:hAnsi="TH Sarabun New" w:cs="TH Sarabun New" w:eastAsia="TH Sarabun New"/>
          <w:b w:val="0"/>
          <w:i w:val="0"/>
          <w:sz w:val="32"/>
          <w:szCs w:val="32"/>
        </w:rPr>
        <w:t>( .................................................................... )</w:t>
      </w:r>
    </w:p>
    <w:p>
      <w:pPr>
        <w:spacing w:line="240" w:lineRule="auto" w:before="0" w:after="80"/>
        <w:jc w:val="center"/>
      </w:pPr>
      <w:r>
        <w:rPr>
          <w:rFonts w:ascii="TH Sarabun New" w:hAnsi="TH Sarabun New" w:cs="TH Sarabun New" w:eastAsia="TH Sarabun New"/>
          <w:b w:val="0"/>
          <w:i w:val="0"/>
          <w:sz w:val="32"/>
          <w:szCs w:val="32"/>
        </w:rPr>
        <w:t>คณะกรรมการวิพากษ์</w:t>
      </w:r>
    </w:p>
    <w:p>
      <w:pPr>
        <w:sectPr>
          <w:pgSz w:w="11906" w:h="16838"/>
          <w:pgMar w:top="2160" w:right="1440" w:bottom="1440" w:left="2160" w:header="720" w:footer="720" w:gutter="0"/>
          <w:cols w:space="720"/>
          <w:docGrid w:linePitch="360"/>
        </w:sectPr>
      </w:pPr>
    </w:p>
    <w:p>
      <w:pPr>
        <w:spacing w:line="240" w:lineRule="auto" w:before="0" w:after="320"/>
        <w:jc w:val="center"/>
      </w:pPr>
      <w:r>
        <w:rPr>
          <w:rFonts w:ascii="TH Sarabun New" w:hAnsi="TH Sarabun New" w:cs="TH Sarabun New" w:eastAsia="TH Sarabun New"/>
          <w:b/>
          <w:i w:val="0"/>
          <w:sz w:val="40"/>
          <w:szCs w:val="40"/>
        </w:rPr>
        <w:t>บทสรุปสำหรับผู้บริหาร</w:t>
      </w:r>
    </w:p>
    <w:p>
      <w:pPr>
        <w:spacing w:line="240" w:lineRule="auto" w:after="0"/>
        <w:ind w:firstLine="720"/>
        <w:jc w:val="left"/>
      </w:pPr>
      <w:r>
        <w:rPr>
          <w:rFonts w:ascii="TH Sarabun New" w:hAnsi="TH Sarabun New" w:cs="TH Sarabun New" w:eastAsia="TH Sarabun New"/>
          <w:b w:val="0"/>
          <w:i w:val="0"/>
          <w:sz w:val="32"/>
          <w:szCs w:val="32"/>
        </w:rPr>
        <w:t>รายงานการศึกษากลุ่มฉบับนี้นำเสนอข้อเสนอเชิงนโยบายเรื่อง "แนวทางการบูรณาการระบบคมนาคมขนส่งเพื่อเมืองยุคใหม่ ผ่านกรอบ 4 เสาหลัก โดยใช้จังหวัดสมุทรปราการเป็นพื้นที่นำร่อง" เพื่อแก้ปัญหาการคมนาคมขนส่งในเขตเมืองของประเทศไทยอย่างเป็นระบบและบูรณาการข้ามหน่วยงาน ภายใต้กรอบของพระราชบัญญัติระบบตั๋วร่วม พ.ศ. 2568 ซึ่งเป็นกฎหมายใหม่ที่เปิดโอกาสให้เกิดการบูรณาการระบบตั๋วร่วมแบบครบวงจรเป็นครั้งแรกของประเทศไทย</w:t>
      </w:r>
    </w:p>
    <w:p>
      <w:pPr>
        <w:spacing w:line="240" w:lineRule="auto" w:after="0"/>
        <w:ind w:firstLine="720"/>
        <w:jc w:val="left"/>
      </w:pPr>
      <w:r>
        <w:rPr>
          <w:rFonts w:ascii="TH Sarabun New" w:hAnsi="TH Sarabun New" w:cs="TH Sarabun New" w:eastAsia="TH Sarabun New"/>
          <w:b w:val="0"/>
          <w:i w:val="0"/>
          <w:sz w:val="32"/>
          <w:szCs w:val="32"/>
        </w:rPr>
        <w:t>ปัญหาการจราจรในเขตเมืองสร้างความสูญเสียทางเศรษฐกิจประมาณ 250,000 ล้านบาทต่อปี พร้อมปัญหามลพิษ PM2.5 ระบบตั๋วที่แยกกัน ปัญหา First/Last Mile และมาตรการภาษีที่ไม่จูงใจ หากไม่ดำเนินการใด ๆ เพิ่มเติม ปัญหาเหล่านี้มีแนวโน้มรุนแรงขึ้นจากการขยายตัวของเมือง การเพิ่มขึ้นของยานยนต์ส่วนบุคคล และความเสี่ยงด้านการเปลี่ยนแปลงสภาพภูมิอากาศในพื้นที่ลุ่มต่ำอย่างจังหวัดสมุทรปราการ</w:t>
      </w:r>
    </w:p>
    <w:p>
      <w:pPr>
        <w:spacing w:line="240" w:lineRule="auto" w:after="0"/>
        <w:ind w:firstLine="720"/>
        <w:jc w:val="left"/>
      </w:pPr>
      <w:r>
        <w:rPr>
          <w:rFonts w:ascii="TH Sarabun New" w:hAnsi="TH Sarabun New" w:cs="TH Sarabun New" w:eastAsia="TH Sarabun New"/>
          <w:b w:val="0"/>
          <w:i w:val="0"/>
          <w:sz w:val="32"/>
          <w:szCs w:val="32"/>
        </w:rPr>
        <w:t>คณะผู้จัดทำเสนอกรอบ 4 เสาหลักที่ต้อง "ดำเนินการพร้อมกัน" ได้แก่ (1) ระบบตั๋วร่วม (2) แอปพลิเคชัน MaaS (3) โครงสร้างพื้นฐานสำหรับคนเดิน (Complete Streets) และ (4) มาตรการทางภาษีและเศรษฐศาสตร์ พร้อม 5 กลไกสนับสนุน โดยใช้จังหวัดสมุทรปราการเป็นพื้นที่นำร่องระยะ 3 ปี (พ.ศ. 2570-2572) ก่อนขยายผลทั่วประเทศภายในปี พ.ศ. 2576</w:t>
      </w:r>
    </w:p>
    <w:p>
      <w:pPr>
        <w:spacing w:line="240" w:lineRule="auto" w:after="0"/>
        <w:ind w:firstLine="720"/>
        <w:jc w:val="left"/>
      </w:pPr>
      <w:r>
        <w:rPr>
          <w:rFonts w:ascii="TH Sarabun New" w:hAnsi="TH Sarabun New" w:cs="TH Sarabun New" w:eastAsia="TH Sarabun New"/>
          <w:b w:val="0"/>
          <w:i w:val="0"/>
          <w:sz w:val="32"/>
          <w:szCs w:val="32"/>
        </w:rPr>
        <w:t>งบประมาณรวมตลอด 10 ปี ประมาณ 12,000 ล้านบาท (คิดเป็นเพียงร้อยละ 0.5 ของงบประมาณกระทรวงคมนาคม 10 ปี) ขณะที่รายได้ใหม่จากมาตรการภาษีและค่าธรรมเนียมประเมินไว้ที่ 27,000-42,000 ล้านบาทต่อปี ส่งผลให้อัตราส่วนผลตอบแทนต่อต้นทุน (BCR) อยู่ในระดับ 8-12 เท่า โดยมีเป้าหมายเพิ่มสัดส่วนการเดินทางด้วยระบบขนส่งสาธารณะเป็นร้อยละ 20 และลดการปล่อย CO2 ภาคขนส่งเมืองลงร้อยละ 30 ภายในปี พ.ศ. 2576 ทั้งนี้ กุญแจความสำเร็จคือยุทธศาสตร์ "Public-Led + Phased + Coexist" ที่ยึดบทเรียนความล้มเหลวของ Whim Helsinki และความสำเร็จของ Transport for London เป็นแนวทาง</w:t>
      </w:r>
    </w:p>
    <w:p>
      <w:pPr>
        <w:spacing w:line="240" w:lineRule="auto" w:after="0"/>
        <w:ind w:firstLine="720"/>
        <w:jc w:val="left"/>
      </w:pPr>
      <w:r>
        <w:rPr>
          <w:rFonts w:ascii="TH Sarabun New" w:hAnsi="TH Sarabun New" w:cs="TH Sarabun New" w:eastAsia="TH Sarabun New"/>
          <w:b w:val="0"/>
          <w:i w:val="0"/>
          <w:sz w:val="32"/>
          <w:szCs w:val="32"/>
        </w:rPr>
        <w:t>ในด้านระเบียบวิธีการศึกษา คณะผู้จัดทำใช้การศึกษาเชิงคุณภาพโดยการวิเคราะห์ข้อมูลทุติยภูมิ (Secondary Data) จากเอกสารนโยบาย กฎหมาย รายงานวิชาการ และสถิติของหน่วยงานที่เกี่ยวข้อง ร่วมกับการทบทวนวรรณกรรมและกรณีศึกษาในต่างประเทศ ตลอดจนเครื่องมือวิเคราะห์ SOAR (Strengths–Opportunities–Aspirations–Results) และ PESTEL เพื่อสังเคราะห์เป็นข้อเสนอเชิงนโยบายที่นำไปปฏิบัติได้จริง</w:t>
      </w:r>
    </w:p>
    <w:p>
      <w:r>
        <w:br w:type="page"/>
      </w:r>
    </w:p>
    <w:p>
      <w:pPr>
        <w:spacing w:line="240" w:lineRule="auto" w:before="0" w:after="320"/>
        <w:jc w:val="center"/>
      </w:pPr>
      <w:r>
        <w:rPr>
          <w:rFonts w:ascii="TH Sarabun New" w:hAnsi="TH Sarabun New" w:cs="TH Sarabun New" w:eastAsia="TH Sarabun New"/>
          <w:b/>
          <w:i w:val="0"/>
          <w:sz w:val="40"/>
          <w:szCs w:val="40"/>
        </w:rPr>
        <w:t>กิตติกรรมประกาศ</w:t>
      </w:r>
    </w:p>
    <w:p>
      <w:pPr>
        <w:spacing w:line="240" w:lineRule="auto" w:after="0"/>
        <w:ind w:firstLine="720"/>
        <w:jc w:val="left"/>
      </w:pPr>
      <w:r>
        <w:rPr>
          <w:rFonts w:ascii="TH Sarabun New" w:hAnsi="TH Sarabun New" w:cs="TH Sarabun New" w:eastAsia="TH Sarabun New"/>
          <w:b w:val="0"/>
          <w:i w:val="0"/>
          <w:sz w:val="32"/>
          <w:szCs w:val="32"/>
        </w:rPr>
        <w:t>รายงานการศึกษากลุ่มฉบับนี้สำเร็จลุล่วงได้ด้วยความกรุณาของคณะกรรมการอาจารย์ที่ปรึกษา หลักสูตรนักบริหารระดับสูงกระทรวงคมนาคม (นบส.คค.) รุ่นที่ 8 ที่ได้ให้คำปรึกษา ชี้แนะ และให้ข้อคิดเห็นอันเป็นประโยชน์อย่างยิ่งตลอดระยะเวลาการจัดทำรายงาน</w:t>
      </w:r>
    </w:p>
    <w:p>
      <w:pPr>
        <w:spacing w:line="240" w:lineRule="auto" w:after="0"/>
        <w:ind w:firstLine="720"/>
        <w:jc w:val="left"/>
      </w:pPr>
      <w:r>
        <w:rPr>
          <w:rFonts w:ascii="TH Sarabun New" w:hAnsi="TH Sarabun New" w:cs="TH Sarabun New" w:eastAsia="TH Sarabun New"/>
          <w:b w:val="0"/>
          <w:i w:val="0"/>
          <w:sz w:val="32"/>
          <w:szCs w:val="32"/>
        </w:rPr>
        <w:t>คณะผู้จัดทำขอขอบคุณผู้บริหารและบุคลากรของสำนักงานปลัดกระทรวงคมนาคม สำนักงานนโยบายและแผนการขนส่งและจราจร (สนข.) และหน่วยงานในสังกัดกระทรวงคมนาคม ที่ได้เอื้อเฟื้อข้อมูล ตลอดจนหน่วยงานที่เกี่ยวข้องทุกภาคส่วน ที่มีส่วนทำให้รายงานฉบับนี้มีความสมบูรณ์ยิ่งขึ้น หากมีข้อบกพร่องประการใด คณะผู้จัดทำขอน้อมรับไว้เพื่อปรับปรุงแก้ไขต่อไป</w:t>
      </w:r>
    </w:p>
    <w:p>
      <w:pPr>
        <w:spacing w:line="240" w:lineRule="auto" w:before="0" w:after="0"/>
        <w:jc w:val="left"/>
      </w:pPr>
    </w:p>
    <w:p>
      <w:pPr>
        <w:spacing w:line="240" w:lineRule="auto" w:before="0" w:after="40"/>
        <w:jc w:val="right"/>
      </w:pPr>
      <w:r>
        <w:rPr>
          <w:rFonts w:ascii="TH Sarabun New" w:hAnsi="TH Sarabun New" w:cs="TH Sarabun New" w:eastAsia="TH Sarabun New"/>
          <w:b/>
          <w:i w:val="0"/>
          <w:sz w:val="32"/>
          <w:szCs w:val="32"/>
        </w:rPr>
        <w:t>คณะผู้จัดทำ</w:t>
      </w:r>
    </w:p>
    <w:p>
      <w:pPr>
        <w:spacing w:line="240" w:lineRule="auto" w:before="0" w:after="40"/>
        <w:jc w:val="right"/>
      </w:pPr>
      <w:r>
        <w:rPr>
          <w:rFonts w:ascii="TH Sarabun New" w:hAnsi="TH Sarabun New" w:cs="TH Sarabun New" w:eastAsia="TH Sarabun New"/>
          <w:b w:val="0"/>
          <w:i w:val="0"/>
          <w:sz w:val="32"/>
          <w:szCs w:val="32"/>
        </w:rPr>
        <w:t>กลุ่มที่ ......... นบส.คค. รุ่นที่ 8</w:t>
      </w:r>
    </w:p>
    <w:p>
      <w:pPr>
        <w:spacing w:line="240" w:lineRule="auto" w:before="0" w:after="0"/>
        <w:jc w:val="right"/>
      </w:pPr>
      <w:r>
        <w:rPr>
          <w:rFonts w:ascii="TH Sarabun New" w:hAnsi="TH Sarabun New" w:cs="TH Sarabun New" w:eastAsia="TH Sarabun New"/>
          <w:b w:val="0"/>
          <w:i w:val="0"/>
          <w:sz w:val="32"/>
          <w:szCs w:val="32"/>
        </w:rPr>
        <w:t>พุทธศักราช 2569</w:t>
      </w:r>
    </w:p>
    <w:p>
      <w:r>
        <w:br w:type="page"/>
      </w:r>
    </w:p>
    <w:p>
      <w:pPr>
        <w:spacing w:line="240" w:lineRule="auto" w:before="0" w:after="240"/>
        <w:jc w:val="center"/>
      </w:pPr>
      <w:r>
        <w:rPr>
          <w:rFonts w:ascii="TH Sarabun New" w:hAnsi="TH Sarabun New" w:cs="TH Sarabun New" w:eastAsia="TH Sarabun New"/>
          <w:b/>
          <w:i w:val="0"/>
          <w:sz w:val="36"/>
          <w:szCs w:val="36"/>
        </w:rPr>
        <w:t>สารบัญ</w:t>
      </w:r>
    </w:p>
    <w:p>
      <w:pPr>
        <w:tabs>
          <w:tab w:pos="8504" w:val="right" w:leader="dot"/>
        </w:tabs>
        <w:spacing w:line="240" w:lineRule="auto" w:after="80"/>
        <w:ind w:left="0"/>
      </w:pPr>
      <w:r>
        <w:rPr>
          <w:rFonts w:ascii="TH Sarabun New" w:hAnsi="TH Sarabun New" w:cs="TH Sarabun New" w:eastAsia="TH Sarabun New"/>
          <w:b w:val="0"/>
          <w:i w:val="0"/>
          <w:sz w:val="32"/>
          <w:szCs w:val="32"/>
        </w:rPr>
        <w:t>บทสรุปสำหรับผู้บริหาร</w:t>
      </w:r>
      <w:r>
        <w:rPr>
          <w:rFonts w:ascii="TH Sarabun New" w:hAnsi="TH Sarabun New" w:cs="TH Sarabun New" w:eastAsia="TH Sarabun New"/>
          <w:b w:val="0"/>
          <w:i w:val="0"/>
          <w:sz w:val="32"/>
          <w:szCs w:val="32"/>
        </w:rPr>
        <w:tab/>
        <w:t>ง</w:t>
      </w:r>
    </w:p>
    <w:p>
      <w:pPr>
        <w:tabs>
          <w:tab w:pos="8504" w:val="right" w:leader="dot"/>
        </w:tabs>
        <w:spacing w:line="240" w:lineRule="auto" w:after="80"/>
        <w:ind w:left="0"/>
      </w:pPr>
      <w:r>
        <w:rPr>
          <w:rFonts w:ascii="TH Sarabun New" w:hAnsi="TH Sarabun New" w:cs="TH Sarabun New" w:eastAsia="TH Sarabun New"/>
          <w:b w:val="0"/>
          <w:i w:val="0"/>
          <w:sz w:val="32"/>
          <w:szCs w:val="32"/>
        </w:rPr>
        <w:t>กิตติกรรมประกาศ</w:t>
      </w:r>
      <w:r>
        <w:rPr>
          <w:rFonts w:ascii="TH Sarabun New" w:hAnsi="TH Sarabun New" w:cs="TH Sarabun New" w:eastAsia="TH Sarabun New"/>
          <w:b w:val="0"/>
          <w:i w:val="0"/>
          <w:sz w:val="32"/>
          <w:szCs w:val="32"/>
        </w:rPr>
        <w:tab/>
        <w:t>ฉ</w:t>
      </w:r>
    </w:p>
    <w:p>
      <w:pPr>
        <w:tabs>
          <w:tab w:pos="8504" w:val="right" w:leader="dot"/>
        </w:tabs>
        <w:spacing w:line="240" w:lineRule="auto" w:after="80"/>
        <w:ind w:left="0"/>
      </w:pPr>
      <w:r>
        <w:rPr>
          <w:rFonts w:ascii="TH Sarabun New" w:hAnsi="TH Sarabun New" w:cs="TH Sarabun New" w:eastAsia="TH Sarabun New"/>
          <w:b w:val="0"/>
          <w:i w:val="0"/>
          <w:sz w:val="32"/>
          <w:szCs w:val="32"/>
        </w:rPr>
        <w:t>สารบัญ</w:t>
      </w:r>
      <w:r>
        <w:rPr>
          <w:rFonts w:ascii="TH Sarabun New" w:hAnsi="TH Sarabun New" w:cs="TH Sarabun New" w:eastAsia="TH Sarabun New"/>
          <w:b w:val="0"/>
          <w:i w:val="0"/>
          <w:sz w:val="32"/>
          <w:szCs w:val="32"/>
        </w:rPr>
        <w:tab/>
        <w:t>ช</w:t>
      </w:r>
    </w:p>
    <w:p>
      <w:pPr>
        <w:tabs>
          <w:tab w:pos="8504" w:val="right" w:leader="dot"/>
        </w:tabs>
        <w:spacing w:line="240" w:lineRule="auto" w:after="80"/>
        <w:ind w:left="0"/>
      </w:pPr>
      <w:r>
        <w:rPr>
          <w:rFonts w:ascii="TH Sarabun New" w:hAnsi="TH Sarabun New" w:cs="TH Sarabun New" w:eastAsia="TH Sarabun New"/>
          <w:b w:val="0"/>
          <w:i w:val="0"/>
          <w:sz w:val="32"/>
          <w:szCs w:val="32"/>
        </w:rPr>
        <w:t>สารบัญตาราง</w:t>
      </w:r>
      <w:r>
        <w:rPr>
          <w:rFonts w:ascii="TH Sarabun New" w:hAnsi="TH Sarabun New" w:cs="TH Sarabun New" w:eastAsia="TH Sarabun New"/>
          <w:b w:val="0"/>
          <w:i w:val="0"/>
          <w:sz w:val="32"/>
          <w:szCs w:val="32"/>
        </w:rPr>
        <w:tab/>
        <w:t>ญ</w:t>
      </w:r>
    </w:p>
    <w:p>
      <w:pPr>
        <w:tabs>
          <w:tab w:pos="8504" w:val="right" w:leader="dot"/>
        </w:tabs>
        <w:spacing w:line="240" w:lineRule="auto" w:after="80"/>
        <w:ind w:left="0"/>
      </w:pPr>
      <w:r>
        <w:rPr>
          <w:rFonts w:ascii="TH Sarabun New" w:hAnsi="TH Sarabun New" w:cs="TH Sarabun New" w:eastAsia="TH Sarabun New"/>
          <w:b w:val="0"/>
          <w:i w:val="0"/>
          <w:sz w:val="32"/>
          <w:szCs w:val="32"/>
        </w:rPr>
        <w:t>สารบัญภาพ</w:t>
      </w:r>
      <w:r>
        <w:rPr>
          <w:rFonts w:ascii="TH Sarabun New" w:hAnsi="TH Sarabun New" w:cs="TH Sarabun New" w:eastAsia="TH Sarabun New"/>
          <w:b w:val="0"/>
          <w:i w:val="0"/>
          <w:sz w:val="32"/>
          <w:szCs w:val="32"/>
        </w:rPr>
        <w:tab/>
        <w:t>ฎ</w:t>
      </w:r>
    </w:p>
    <w:p>
      <w:pPr>
        <w:tabs>
          <w:tab w:pos="8504" w:val="right" w:leader="dot"/>
        </w:tabs>
        <w:spacing w:line="240" w:lineRule="auto" w:after="80"/>
        <w:ind w:left="0"/>
      </w:pPr>
      <w:r>
        <w:rPr>
          <w:rFonts w:ascii="TH Sarabun New" w:hAnsi="TH Sarabun New" w:cs="TH Sarabun New" w:eastAsia="TH Sarabun New"/>
          <w:b/>
          <w:i w:val="0"/>
          <w:sz w:val="32"/>
          <w:szCs w:val="32"/>
        </w:rPr>
        <w:t>1. สภาพทั่วไปของปัญหา</w:t>
      </w:r>
      <w:r>
        <w:rPr>
          <w:rFonts w:ascii="TH Sarabun New" w:hAnsi="TH Sarabun New" w:cs="TH Sarabun New" w:eastAsia="TH Sarabun New"/>
          <w:b/>
          <w:i w:val="0"/>
          <w:sz w:val="32"/>
          <w:szCs w:val="32"/>
        </w:rPr>
        <w:tab/>
        <w:t>1</w:t>
      </w:r>
    </w:p>
    <w:p>
      <w:pPr>
        <w:tabs>
          <w:tab w:pos="8504" w:val="right" w:leader="dot"/>
        </w:tabs>
        <w:spacing w:line="240" w:lineRule="auto" w:after="80"/>
        <w:ind w:left="397"/>
      </w:pPr>
      <w:r>
        <w:rPr>
          <w:rFonts w:ascii="TH Sarabun New" w:hAnsi="TH Sarabun New" w:cs="TH Sarabun New" w:eastAsia="TH Sarabun New"/>
          <w:b w:val="0"/>
          <w:i w:val="0"/>
          <w:sz w:val="32"/>
          <w:szCs w:val="32"/>
        </w:rPr>
        <w:t>1.1 หัวข้อและความสำคัญของการศึกษา</w:t>
      </w:r>
      <w:r>
        <w:rPr>
          <w:rFonts w:ascii="TH Sarabun New" w:hAnsi="TH Sarabun New" w:cs="TH Sarabun New" w:eastAsia="TH Sarabun New"/>
          <w:b w:val="0"/>
          <w:i w:val="0"/>
          <w:sz w:val="32"/>
          <w:szCs w:val="32"/>
        </w:rPr>
        <w:tab/>
        <w:t>1</w:t>
      </w:r>
    </w:p>
    <w:p>
      <w:pPr>
        <w:tabs>
          <w:tab w:pos="8504" w:val="right" w:leader="dot"/>
        </w:tabs>
        <w:spacing w:line="240" w:lineRule="auto" w:after="80"/>
        <w:ind w:left="397"/>
      </w:pPr>
      <w:r>
        <w:rPr>
          <w:rFonts w:ascii="TH Sarabun New" w:hAnsi="TH Sarabun New" w:cs="TH Sarabun New" w:eastAsia="TH Sarabun New"/>
          <w:b w:val="0"/>
          <w:i w:val="0"/>
          <w:sz w:val="32"/>
          <w:szCs w:val="32"/>
        </w:rPr>
        <w:t>1.2 สภาพปัญหาการคมนาคมขนส่งในเขตเมืองจากอดีตถึงปัจจุบัน</w:t>
      </w:r>
      <w:r>
        <w:rPr>
          <w:rFonts w:ascii="TH Sarabun New" w:hAnsi="TH Sarabun New" w:cs="TH Sarabun New" w:eastAsia="TH Sarabun New"/>
          <w:b w:val="0"/>
          <w:i w:val="0"/>
          <w:sz w:val="32"/>
          <w:szCs w:val="32"/>
        </w:rPr>
        <w:tab/>
        <w:t>2</w:t>
      </w:r>
    </w:p>
    <w:p>
      <w:pPr>
        <w:tabs>
          <w:tab w:pos="8504" w:val="right" w:leader="dot"/>
        </w:tabs>
        <w:spacing w:line="240" w:lineRule="auto" w:after="80"/>
        <w:ind w:left="397"/>
      </w:pPr>
      <w:r>
        <w:rPr>
          <w:rFonts w:ascii="TH Sarabun New" w:hAnsi="TH Sarabun New" w:cs="TH Sarabun New" w:eastAsia="TH Sarabun New"/>
          <w:b w:val="0"/>
          <w:i w:val="0"/>
          <w:sz w:val="32"/>
          <w:szCs w:val="32"/>
        </w:rPr>
        <w:t>1.3 การทบทวนวรรณกรรมและกรณีศึกษาในต่างประเทศ</w:t>
      </w:r>
      <w:r>
        <w:rPr>
          <w:rFonts w:ascii="TH Sarabun New" w:hAnsi="TH Sarabun New" w:cs="TH Sarabun New" w:eastAsia="TH Sarabun New"/>
          <w:b w:val="0"/>
          <w:i w:val="0"/>
          <w:sz w:val="32"/>
          <w:szCs w:val="32"/>
        </w:rPr>
        <w:tab/>
        <w:t>4</w:t>
      </w:r>
    </w:p>
    <w:p>
      <w:pPr>
        <w:tabs>
          <w:tab w:pos="8504" w:val="right" w:leader="dot"/>
        </w:tabs>
        <w:spacing w:line="240" w:lineRule="auto" w:after="80"/>
        <w:ind w:left="397"/>
      </w:pPr>
      <w:r>
        <w:rPr>
          <w:rFonts w:ascii="TH Sarabun New" w:hAnsi="TH Sarabun New" w:cs="TH Sarabun New" w:eastAsia="TH Sarabun New"/>
          <w:b w:val="0"/>
          <w:i w:val="0"/>
          <w:sz w:val="32"/>
          <w:szCs w:val="32"/>
        </w:rPr>
        <w:t>1.4 ความพยายามของภาครัฐไทยที่ผ่านมาและปัจจัยความสำเร็จ/ไม่สำเร็จ</w:t>
      </w:r>
      <w:r>
        <w:rPr>
          <w:rFonts w:ascii="TH Sarabun New" w:hAnsi="TH Sarabun New" w:cs="TH Sarabun New" w:eastAsia="TH Sarabun New"/>
          <w:b w:val="0"/>
          <w:i w:val="0"/>
          <w:sz w:val="32"/>
          <w:szCs w:val="32"/>
        </w:rPr>
        <w:tab/>
        <w:t>6</w:t>
      </w:r>
    </w:p>
    <w:p>
      <w:pPr>
        <w:tabs>
          <w:tab w:pos="8504" w:val="right" w:leader="dot"/>
        </w:tabs>
        <w:spacing w:line="240" w:lineRule="auto" w:after="80"/>
        <w:ind w:left="397"/>
      </w:pPr>
      <w:r>
        <w:rPr>
          <w:rFonts w:ascii="TH Sarabun New" w:hAnsi="TH Sarabun New" w:cs="TH Sarabun New" w:eastAsia="TH Sarabun New"/>
          <w:b w:val="0"/>
          <w:i w:val="0"/>
          <w:sz w:val="32"/>
          <w:szCs w:val="32"/>
        </w:rPr>
        <w:t>1.5 การวิเคราะห์เชิงกลยุทธ์เชิงสร้างสรรค์ (SOAR)</w:t>
        <w:tab/>
        <w:t>7</w:t>
      </w:r>
      <w:r>
        <w:rPr>
          <w:rFonts w:ascii="TH Sarabun New" w:hAnsi="TH Sarabun New" w:cs="TH Sarabun New" w:eastAsia="TH Sarabun New"/>
          <w:b w:val="0"/>
          <w:i w:val="0"/>
          <w:sz w:val="32"/>
          <w:szCs w:val="32"/>
        </w:rPr>
      </w:r>
    </w:p>
    <w:p>
      <w:pPr>
        <w:tabs>
          <w:tab w:pos="8504" w:val="right" w:leader="dot"/>
        </w:tabs>
        <w:spacing w:line="240" w:lineRule="auto" w:after="80"/>
        <w:ind w:left="397"/>
      </w:pPr>
      <w:r>
        <w:rPr>
          <w:rFonts w:ascii="TH Sarabun New" w:hAnsi="TH Sarabun New" w:cs="TH Sarabun New" w:eastAsia="TH Sarabun New"/>
          <w:b w:val="0"/>
          <w:i w:val="0"/>
          <w:sz w:val="32"/>
          <w:szCs w:val="32"/>
        </w:rPr>
        <w:t>1.6 สรุปสภาพปัญหาและความพยายามในอดีต</w:t>
      </w:r>
      <w:r>
        <w:rPr>
          <w:rFonts w:ascii="TH Sarabun New" w:hAnsi="TH Sarabun New" w:cs="TH Sarabun New" w:eastAsia="TH Sarabun New"/>
          <w:b w:val="0"/>
          <w:i w:val="0"/>
          <w:sz w:val="32"/>
          <w:szCs w:val="32"/>
        </w:rPr>
        <w:tab/>
        <w:t>7</w:t>
      </w:r>
    </w:p>
    <w:p>
      <w:pPr>
        <w:tabs>
          <w:tab w:pos="8504" w:val="right" w:leader="dot"/>
        </w:tabs>
        <w:spacing w:line="240" w:lineRule="auto" w:after="80"/>
        <w:ind w:left="0"/>
      </w:pPr>
      <w:r>
        <w:rPr>
          <w:rFonts w:ascii="TH Sarabun New" w:hAnsi="TH Sarabun New" w:cs="TH Sarabun New" w:eastAsia="TH Sarabun New"/>
          <w:b/>
          <w:i w:val="0"/>
          <w:sz w:val="32"/>
          <w:szCs w:val="32"/>
        </w:rPr>
        <w:t>2. การคาดการณ์ปัญหาของประเทศในอนาคต</w:t>
      </w:r>
      <w:r>
        <w:rPr>
          <w:rFonts w:ascii="TH Sarabun New" w:hAnsi="TH Sarabun New" w:cs="TH Sarabun New" w:eastAsia="TH Sarabun New"/>
          <w:b/>
          <w:i w:val="0"/>
          <w:sz w:val="32"/>
          <w:szCs w:val="32"/>
        </w:rPr>
        <w:tab/>
        <w:t>8</w:t>
      </w:r>
    </w:p>
    <w:p>
      <w:pPr>
        <w:tabs>
          <w:tab w:pos="8504" w:val="right" w:leader="dot"/>
        </w:tabs>
        <w:spacing w:line="240" w:lineRule="auto" w:after="80"/>
        <w:ind w:left="397"/>
      </w:pPr>
      <w:r>
        <w:rPr>
          <w:rFonts w:ascii="TH Sarabun New" w:hAnsi="TH Sarabun New" w:cs="TH Sarabun New" w:eastAsia="TH Sarabun New"/>
          <w:b w:val="0"/>
          <w:i w:val="0"/>
          <w:sz w:val="32"/>
          <w:szCs w:val="32"/>
        </w:rPr>
        <w:t>2.1 แนวโน้มของปัญหาใน 10 ปีข้างหน้า</w:t>
      </w:r>
      <w:r>
        <w:rPr>
          <w:rFonts w:ascii="TH Sarabun New" w:hAnsi="TH Sarabun New" w:cs="TH Sarabun New" w:eastAsia="TH Sarabun New"/>
          <w:b w:val="0"/>
          <w:i w:val="0"/>
          <w:sz w:val="32"/>
          <w:szCs w:val="32"/>
        </w:rPr>
        <w:tab/>
        <w:t>8</w:t>
      </w:r>
    </w:p>
    <w:p>
      <w:pPr>
        <w:tabs>
          <w:tab w:pos="8504" w:val="right" w:leader="dot"/>
        </w:tabs>
        <w:spacing w:line="240" w:lineRule="auto" w:after="80"/>
        <w:ind w:left="397"/>
      </w:pPr>
      <w:r>
        <w:rPr>
          <w:rFonts w:ascii="TH Sarabun New" w:hAnsi="TH Sarabun New" w:cs="TH Sarabun New" w:eastAsia="TH Sarabun New"/>
          <w:b w:val="0"/>
          <w:i w:val="0"/>
          <w:sz w:val="32"/>
          <w:szCs w:val="32"/>
        </w:rPr>
        <w:t>2.2 การวิเคราะห์สภาพแวดล้อมภายนอก (PESTEL)</w:t>
      </w:r>
      <w:r>
        <w:rPr>
          <w:rFonts w:ascii="TH Sarabun New" w:hAnsi="TH Sarabun New" w:cs="TH Sarabun New" w:eastAsia="TH Sarabun New"/>
          <w:b w:val="0"/>
          <w:i w:val="0"/>
          <w:sz w:val="32"/>
          <w:szCs w:val="32"/>
        </w:rPr>
        <w:tab/>
        <w:t>9</w:t>
      </w:r>
    </w:p>
    <w:p>
      <w:pPr>
        <w:tabs>
          <w:tab w:pos="8504" w:val="right" w:leader="dot"/>
        </w:tabs>
        <w:spacing w:line="240" w:lineRule="auto" w:after="80"/>
        <w:ind w:left="397"/>
      </w:pPr>
      <w:r>
        <w:rPr>
          <w:rFonts w:ascii="TH Sarabun New" w:hAnsi="TH Sarabun New" w:cs="TH Sarabun New" w:eastAsia="TH Sarabun New"/>
          <w:b w:val="0"/>
          <w:i w:val="0"/>
          <w:sz w:val="32"/>
          <w:szCs w:val="32"/>
        </w:rPr>
        <w:t>2.3 ความเสี่ยงด้านการเปลี่ยนแปลงสภาพภูมิอากาศในจังหวัดสมุทรปราการ</w:t>
      </w:r>
      <w:r>
        <w:rPr>
          <w:rFonts w:ascii="TH Sarabun New" w:hAnsi="TH Sarabun New" w:cs="TH Sarabun New" w:eastAsia="TH Sarabun New"/>
          <w:b w:val="0"/>
          <w:i w:val="0"/>
          <w:sz w:val="32"/>
          <w:szCs w:val="32"/>
        </w:rPr>
        <w:tab/>
        <w:t>9</w:t>
      </w:r>
    </w:p>
    <w:p>
      <w:pPr>
        <w:tabs>
          <w:tab w:pos="8504" w:val="right" w:leader="dot"/>
        </w:tabs>
        <w:spacing w:line="240" w:lineRule="auto" w:after="80"/>
        <w:ind w:left="397"/>
      </w:pPr>
      <w:r>
        <w:rPr>
          <w:rFonts w:ascii="TH Sarabun New" w:hAnsi="TH Sarabun New" w:cs="TH Sarabun New" w:eastAsia="TH Sarabun New"/>
          <w:b w:val="0"/>
          <w:i w:val="0"/>
          <w:sz w:val="32"/>
          <w:szCs w:val="32"/>
        </w:rPr>
        <w:t>2.4 ปัจจัยขับเคลื่อนทั้งภายในและภายนอกประเทศ</w:t>
      </w:r>
      <w:r>
        <w:rPr>
          <w:rFonts w:ascii="TH Sarabun New" w:hAnsi="TH Sarabun New" w:cs="TH Sarabun New" w:eastAsia="TH Sarabun New"/>
          <w:b w:val="0"/>
          <w:i w:val="0"/>
          <w:sz w:val="32"/>
          <w:szCs w:val="32"/>
        </w:rPr>
        <w:tab/>
        <w:t>10</w:t>
      </w:r>
    </w:p>
    <w:p>
      <w:pPr>
        <w:tabs>
          <w:tab w:pos="8504" w:val="right" w:leader="dot"/>
        </w:tabs>
        <w:spacing w:line="240" w:lineRule="auto" w:after="80"/>
        <w:ind w:left="397"/>
      </w:pPr>
      <w:r>
        <w:rPr>
          <w:rFonts w:ascii="TH Sarabun New" w:hAnsi="TH Sarabun New" w:cs="TH Sarabun New" w:eastAsia="TH Sarabun New"/>
          <w:b w:val="0"/>
          <w:i w:val="0"/>
          <w:sz w:val="32"/>
          <w:szCs w:val="32"/>
        </w:rPr>
        <w:t>2.5 การคาดการณ์ความต้องการในอนาคต (Potential Demand)</w:t>
      </w:r>
      <w:r>
        <w:rPr>
          <w:rFonts w:ascii="TH Sarabun New" w:hAnsi="TH Sarabun New" w:cs="TH Sarabun New" w:eastAsia="TH Sarabun New"/>
          <w:b w:val="0"/>
          <w:i w:val="0"/>
          <w:sz w:val="32"/>
          <w:szCs w:val="32"/>
        </w:rPr>
        <w:tab/>
        <w:t>10</w:t>
      </w:r>
    </w:p>
    <w:p>
      <w:pPr>
        <w:tabs>
          <w:tab w:pos="8504" w:val="right" w:leader="dot"/>
        </w:tabs>
        <w:spacing w:line="240" w:lineRule="auto" w:after="80"/>
        <w:ind w:left="0"/>
      </w:pPr>
      <w:r>
        <w:rPr>
          <w:rFonts w:ascii="TH Sarabun New" w:hAnsi="TH Sarabun New" w:cs="TH Sarabun New" w:eastAsia="TH Sarabun New"/>
          <w:b/>
          <w:i w:val="0"/>
          <w:sz w:val="32"/>
          <w:szCs w:val="32"/>
        </w:rPr>
        <w:t>3. แนวทางแก้ปัญหา และ/หรือ การพัฒนา</w:t>
      </w:r>
      <w:r>
        <w:rPr>
          <w:rFonts w:ascii="TH Sarabun New" w:hAnsi="TH Sarabun New" w:cs="TH Sarabun New" w:eastAsia="TH Sarabun New"/>
          <w:b/>
          <w:i w:val="0"/>
          <w:sz w:val="32"/>
          <w:szCs w:val="32"/>
        </w:rPr>
        <w:tab/>
        <w:t>11</w:t>
      </w:r>
    </w:p>
    <w:p>
      <w:pPr>
        <w:tabs>
          <w:tab w:pos="8504" w:val="right" w:leader="dot"/>
        </w:tabs>
        <w:spacing w:line="240" w:lineRule="auto" w:after="80"/>
        <w:ind w:left="397"/>
      </w:pPr>
      <w:r>
        <w:rPr>
          <w:rFonts w:ascii="TH Sarabun New" w:hAnsi="TH Sarabun New" w:cs="TH Sarabun New" w:eastAsia="TH Sarabun New"/>
          <w:b w:val="0"/>
          <w:i w:val="0"/>
          <w:sz w:val="32"/>
          <w:szCs w:val="32"/>
        </w:rPr>
        <w:t>3.1 การเชื่อมโยงผลการวิเคราะห์</w:t>
      </w:r>
      <w:r>
        <w:rPr>
          <w:rFonts w:ascii="TH Sarabun New" w:hAnsi="TH Sarabun New" w:cs="TH Sarabun New" w:eastAsia="TH Sarabun New"/>
          <w:b w:val="0"/>
          <w:i w:val="0"/>
          <w:sz w:val="32"/>
          <w:szCs w:val="32"/>
        </w:rPr>
        <w:tab/>
        <w:t>11</w:t>
      </w:r>
    </w:p>
    <w:p>
      <w:pPr>
        <w:tabs>
          <w:tab w:pos="8504" w:val="right" w:leader="dot"/>
        </w:tabs>
        <w:spacing w:line="240" w:lineRule="auto" w:after="80"/>
        <w:ind w:left="397"/>
      </w:pPr>
      <w:r>
        <w:rPr>
          <w:rFonts w:ascii="TH Sarabun New" w:hAnsi="TH Sarabun New" w:cs="TH Sarabun New" w:eastAsia="TH Sarabun New"/>
          <w:b w:val="0"/>
          <w:i w:val="0"/>
          <w:sz w:val="32"/>
          <w:szCs w:val="32"/>
        </w:rPr>
        <w:t>3.2 โจทย์หลักและความสอดคล้องเชิงยุทธศาสตร์</w:t>
      </w:r>
      <w:r>
        <w:rPr>
          <w:rFonts w:ascii="TH Sarabun New" w:hAnsi="TH Sarabun New" w:cs="TH Sarabun New" w:eastAsia="TH Sarabun New"/>
          <w:b w:val="0"/>
          <w:i w:val="0"/>
          <w:sz w:val="32"/>
          <w:szCs w:val="32"/>
        </w:rPr>
        <w:tab/>
        <w:t>12</w:t>
      </w:r>
    </w:p>
    <w:p>
      <w:pPr>
        <w:tabs>
          <w:tab w:pos="8504" w:val="right" w:leader="dot"/>
        </w:tabs>
        <w:spacing w:line="240" w:lineRule="auto" w:after="80"/>
        <w:ind w:left="397"/>
      </w:pPr>
      <w:r>
        <w:rPr>
          <w:rFonts w:ascii="TH Sarabun New" w:hAnsi="TH Sarabun New" w:cs="TH Sarabun New" w:eastAsia="TH Sarabun New"/>
          <w:b w:val="0"/>
          <w:i w:val="0"/>
          <w:sz w:val="32"/>
          <w:szCs w:val="32"/>
        </w:rPr>
        <w:t>3.3 โจทย์รอง: กรอบ 4 เสาหลักของการบูรณาการคมนาคม</w:t>
      </w:r>
      <w:r>
        <w:rPr>
          <w:rFonts w:ascii="TH Sarabun New" w:hAnsi="TH Sarabun New" w:cs="TH Sarabun New" w:eastAsia="TH Sarabun New"/>
          <w:b w:val="0"/>
          <w:i w:val="0"/>
          <w:sz w:val="32"/>
          <w:szCs w:val="32"/>
        </w:rPr>
        <w:tab/>
        <w:t>13</w:t>
      </w:r>
    </w:p>
    <w:p>
      <w:pPr>
        <w:tabs>
          <w:tab w:pos="8504" w:val="right" w:leader="dot"/>
        </w:tabs>
        <w:spacing w:line="240" w:lineRule="auto" w:after="80"/>
        <w:ind w:left="397"/>
      </w:pPr>
      <w:r>
        <w:rPr>
          <w:rFonts w:ascii="TH Sarabun New" w:hAnsi="TH Sarabun New" w:cs="TH Sarabun New" w:eastAsia="TH Sarabun New"/>
          <w:b w:val="0"/>
          <w:i w:val="0"/>
          <w:sz w:val="32"/>
          <w:szCs w:val="32"/>
        </w:rPr>
        <w:t>3.4 เสาหลักที่ 1: ระบบตั๋วร่วม (Common Ticketing)</w:t>
      </w:r>
      <w:r>
        <w:rPr>
          <w:rFonts w:ascii="TH Sarabun New" w:hAnsi="TH Sarabun New" w:cs="TH Sarabun New" w:eastAsia="TH Sarabun New"/>
          <w:b w:val="0"/>
          <w:i w:val="0"/>
          <w:sz w:val="32"/>
          <w:szCs w:val="32"/>
        </w:rPr>
        <w:tab/>
        <w:t>14</w:t>
      </w:r>
    </w:p>
    <w:p>
      <w:pPr>
        <w:tabs>
          <w:tab w:pos="8504" w:val="right" w:leader="dot"/>
        </w:tabs>
        <w:spacing w:line="240" w:lineRule="auto" w:after="80"/>
        <w:ind w:left="397"/>
      </w:pPr>
      <w:r>
        <w:rPr>
          <w:rFonts w:ascii="TH Sarabun New" w:hAnsi="TH Sarabun New" w:cs="TH Sarabun New" w:eastAsia="TH Sarabun New"/>
          <w:b w:val="0"/>
          <w:i w:val="0"/>
          <w:sz w:val="32"/>
          <w:szCs w:val="32"/>
        </w:rPr>
        <w:t>3.5 เสาหลักที่ 2: แอปพลิเคชัน MaaS</w:t>
      </w:r>
      <w:r>
        <w:rPr>
          <w:rFonts w:ascii="TH Sarabun New" w:hAnsi="TH Sarabun New" w:cs="TH Sarabun New" w:eastAsia="TH Sarabun New"/>
          <w:b w:val="0"/>
          <w:i w:val="0"/>
          <w:sz w:val="32"/>
          <w:szCs w:val="32"/>
        </w:rPr>
        <w:tab/>
        <w:t>15</w:t>
      </w:r>
    </w:p>
    <w:p>
      <w:pPr>
        <w:tabs>
          <w:tab w:pos="8504" w:val="right" w:leader="dot"/>
        </w:tabs>
        <w:spacing w:line="240" w:lineRule="auto" w:after="80"/>
        <w:ind w:left="397"/>
      </w:pPr>
      <w:r>
        <w:rPr>
          <w:rFonts w:ascii="TH Sarabun New" w:hAnsi="TH Sarabun New" w:cs="TH Sarabun New" w:eastAsia="TH Sarabun New"/>
          <w:b w:val="0"/>
          <w:i w:val="0"/>
          <w:sz w:val="32"/>
          <w:szCs w:val="32"/>
        </w:rPr>
        <w:t>3.6 เสาหลักที่ 3: โครงสร้างพื้นฐานสำหรับคนเดิน (Complete Streets)</w:t>
      </w:r>
      <w:r>
        <w:rPr>
          <w:rFonts w:ascii="TH Sarabun New" w:hAnsi="TH Sarabun New" w:cs="TH Sarabun New" w:eastAsia="TH Sarabun New"/>
          <w:b w:val="0"/>
          <w:i w:val="0"/>
          <w:sz w:val="32"/>
          <w:szCs w:val="32"/>
        </w:rPr>
        <w:tab/>
        <w:t>15</w:t>
      </w:r>
    </w:p>
    <w:p>
      <w:pPr>
        <w:tabs>
          <w:tab w:pos="8504" w:val="right" w:leader="dot"/>
        </w:tabs>
        <w:spacing w:line="240" w:lineRule="auto" w:after="80"/>
        <w:ind w:left="397"/>
      </w:pPr>
      <w:r>
        <w:rPr>
          <w:rFonts w:ascii="TH Sarabun New" w:hAnsi="TH Sarabun New" w:cs="TH Sarabun New" w:eastAsia="TH Sarabun New"/>
          <w:b w:val="0"/>
          <w:i w:val="0"/>
          <w:sz w:val="32"/>
          <w:szCs w:val="32"/>
        </w:rPr>
        <w:t>3.7 เสาหลักที่ 4: มาตรการทางภาษีและเศรษฐศาสตร์</w:t>
      </w:r>
      <w:r>
        <w:rPr>
          <w:rFonts w:ascii="TH Sarabun New" w:hAnsi="TH Sarabun New" w:cs="TH Sarabun New" w:eastAsia="TH Sarabun New"/>
          <w:b w:val="0"/>
          <w:i w:val="0"/>
          <w:sz w:val="32"/>
          <w:szCs w:val="32"/>
        </w:rPr>
        <w:tab/>
        <w:t>16</w:t>
      </w:r>
    </w:p>
    <w:p>
      <w:pPr>
        <w:tabs>
          <w:tab w:pos="8504" w:val="right" w:leader="dot"/>
        </w:tabs>
        <w:spacing w:line="240" w:lineRule="auto" w:after="80"/>
        <w:ind w:left="397"/>
      </w:pPr>
      <w:r>
        <w:rPr>
          <w:rFonts w:ascii="TH Sarabun New" w:hAnsi="TH Sarabun New" w:cs="TH Sarabun New" w:eastAsia="TH Sarabun New"/>
          <w:b w:val="0"/>
          <w:i w:val="0"/>
          <w:sz w:val="32"/>
          <w:szCs w:val="32"/>
        </w:rPr>
        <w:t>3.8 กลไกสนับสนุนการขับเคลื่อน 5 ด้าน (Value Chain)</w:t>
      </w:r>
      <w:r>
        <w:rPr>
          <w:rFonts w:ascii="TH Sarabun New" w:hAnsi="TH Sarabun New" w:cs="TH Sarabun New" w:eastAsia="TH Sarabun New"/>
          <w:b w:val="0"/>
          <w:i w:val="0"/>
          <w:sz w:val="32"/>
          <w:szCs w:val="32"/>
        </w:rPr>
        <w:tab/>
        <w:t>16</w:t>
      </w:r>
    </w:p>
    <w:p>
      <w:pPr>
        <w:tabs>
          <w:tab w:pos="8504" w:val="right" w:leader="dot"/>
        </w:tabs>
        <w:spacing w:line="240" w:lineRule="auto" w:after="80"/>
        <w:ind w:left="397"/>
      </w:pPr>
      <w:r>
        <w:rPr>
          <w:rFonts w:ascii="TH Sarabun New" w:hAnsi="TH Sarabun New" w:cs="TH Sarabun New" w:eastAsia="TH Sarabun New"/>
          <w:b w:val="0"/>
          <w:i w:val="0"/>
          <w:sz w:val="32"/>
          <w:szCs w:val="32"/>
        </w:rPr>
        <w:t>3.9 รูปแบบธรรมาภิบาลและโครงสร้างองค์กร</w:t>
      </w:r>
      <w:r>
        <w:rPr>
          <w:rFonts w:ascii="TH Sarabun New" w:hAnsi="TH Sarabun New" w:cs="TH Sarabun New" w:eastAsia="TH Sarabun New"/>
          <w:b w:val="0"/>
          <w:i w:val="0"/>
          <w:sz w:val="32"/>
          <w:szCs w:val="32"/>
        </w:rPr>
        <w:tab/>
        <w:t>18</w:t>
      </w:r>
    </w:p>
    <w:p>
      <w:pPr>
        <w:tabs>
          <w:tab w:pos="8504" w:val="right" w:leader="dot"/>
        </w:tabs>
        <w:spacing w:line="240" w:lineRule="auto" w:after="80"/>
        <w:ind w:left="397"/>
      </w:pPr>
      <w:r>
        <w:rPr>
          <w:rFonts w:ascii="TH Sarabun New" w:hAnsi="TH Sarabun New" w:cs="TH Sarabun New" w:eastAsia="TH Sarabun New"/>
          <w:b w:val="0"/>
          <w:i w:val="0"/>
          <w:sz w:val="32"/>
          <w:szCs w:val="32"/>
        </w:rPr>
        <w:t>3.10 สถาปัตยกรรมข้อมูลและความมั่นคงปลอดภัยทางไซเบอร์</w:t>
      </w:r>
      <w:r>
        <w:rPr>
          <w:rFonts w:ascii="TH Sarabun New" w:hAnsi="TH Sarabun New" w:cs="TH Sarabun New" w:eastAsia="TH Sarabun New"/>
          <w:b w:val="0"/>
          <w:i w:val="0"/>
          <w:sz w:val="32"/>
          <w:szCs w:val="32"/>
        </w:rPr>
        <w:tab/>
        <w:t>18</w:t>
      </w:r>
    </w:p>
    <w:p>
      <w:pPr>
        <w:tabs>
          <w:tab w:pos="8504" w:val="right" w:leader="dot"/>
        </w:tabs>
        <w:spacing w:line="240" w:lineRule="auto" w:after="80"/>
        <w:ind w:left="0"/>
      </w:pPr>
      <w:r>
        <w:rPr>
          <w:rFonts w:ascii="TH Sarabun New" w:hAnsi="TH Sarabun New" w:cs="TH Sarabun New" w:eastAsia="TH Sarabun New"/>
          <w:b/>
          <w:i w:val="0"/>
          <w:sz w:val="32"/>
          <w:szCs w:val="32"/>
        </w:rPr>
        <w:t>4. การนำแนวทางแก้โจทย์สู่การปฏิบัติ</w:t>
      </w:r>
      <w:r>
        <w:rPr>
          <w:rFonts w:ascii="TH Sarabun New" w:hAnsi="TH Sarabun New" w:cs="TH Sarabun New" w:eastAsia="TH Sarabun New"/>
          <w:b/>
          <w:i w:val="0"/>
          <w:sz w:val="32"/>
          <w:szCs w:val="32"/>
        </w:rPr>
        <w:tab/>
        <w:t>19</w:t>
      </w:r>
    </w:p>
    <w:p>
      <w:pPr>
        <w:tabs>
          <w:tab w:pos="8504" w:val="right" w:leader="dot"/>
        </w:tabs>
        <w:spacing w:line="240" w:lineRule="auto" w:after="80"/>
        <w:ind w:left="397"/>
      </w:pPr>
      <w:r>
        <w:rPr>
          <w:rFonts w:ascii="TH Sarabun New" w:hAnsi="TH Sarabun New" w:cs="TH Sarabun New" w:eastAsia="TH Sarabun New"/>
          <w:b w:val="0"/>
          <w:i w:val="0"/>
          <w:sz w:val="32"/>
          <w:szCs w:val="32"/>
        </w:rPr>
        <w:t>4.1 สรุปภาพรวมโจทย์หลัก โจทย์รอง และแนวทางแก้โจทย์</w:t>
      </w:r>
      <w:r>
        <w:rPr>
          <w:rFonts w:ascii="TH Sarabun New" w:hAnsi="TH Sarabun New" w:cs="TH Sarabun New" w:eastAsia="TH Sarabun New"/>
          <w:b w:val="0"/>
          <w:i w:val="0"/>
          <w:sz w:val="32"/>
          <w:szCs w:val="32"/>
        </w:rPr>
        <w:tab/>
        <w:t>19</w:t>
      </w:r>
    </w:p>
    <w:p>
      <w:pPr>
        <w:tabs>
          <w:tab w:pos="8504" w:val="right" w:leader="dot"/>
        </w:tabs>
        <w:spacing w:line="240" w:lineRule="auto" w:after="80"/>
        <w:ind w:left="397"/>
      </w:pPr>
      <w:r>
        <w:rPr>
          <w:rFonts w:ascii="TH Sarabun New" w:hAnsi="TH Sarabun New" w:cs="TH Sarabun New" w:eastAsia="TH Sarabun New"/>
          <w:b w:val="0"/>
          <w:i w:val="0"/>
          <w:sz w:val="32"/>
          <w:szCs w:val="32"/>
        </w:rPr>
        <w:t>4.2 หน่วยงานรับผิดชอบและเจ้าภาพการขับเคลื่อน</w:t>
      </w:r>
      <w:r>
        <w:rPr>
          <w:rFonts w:ascii="TH Sarabun New" w:hAnsi="TH Sarabun New" w:cs="TH Sarabun New" w:eastAsia="TH Sarabun New"/>
          <w:b w:val="0"/>
          <w:i w:val="0"/>
          <w:sz w:val="32"/>
          <w:szCs w:val="32"/>
        </w:rPr>
        <w:tab/>
        <w:t>19</w:t>
      </w:r>
    </w:p>
    <w:p>
      <w:pPr>
        <w:tabs>
          <w:tab w:pos="8504" w:val="right" w:leader="dot"/>
        </w:tabs>
        <w:spacing w:line="240" w:lineRule="auto" w:after="80"/>
        <w:ind w:left="397"/>
      </w:pPr>
      <w:r>
        <w:rPr>
          <w:rFonts w:ascii="TH Sarabun New" w:hAnsi="TH Sarabun New" w:cs="TH Sarabun New" w:eastAsia="TH Sarabun New"/>
          <w:b w:val="0"/>
          <w:i w:val="0"/>
          <w:sz w:val="32"/>
          <w:szCs w:val="32"/>
        </w:rPr>
        <w:t>4.3 พื้นที่นำร่องจังหวัดสมุทรปราการ</w:t>
      </w:r>
      <w:r>
        <w:rPr>
          <w:rFonts w:ascii="TH Sarabun New" w:hAnsi="TH Sarabun New" w:cs="TH Sarabun New" w:eastAsia="TH Sarabun New"/>
          <w:b w:val="0"/>
          <w:i w:val="0"/>
          <w:sz w:val="32"/>
          <w:szCs w:val="32"/>
        </w:rPr>
        <w:tab/>
        <w:t>20</w:t>
      </w:r>
    </w:p>
    <w:p>
      <w:pPr>
        <w:tabs>
          <w:tab w:pos="8504" w:val="right" w:leader="dot"/>
        </w:tabs>
        <w:spacing w:line="240" w:lineRule="auto" w:after="80"/>
        <w:ind w:left="397"/>
      </w:pPr>
      <w:r>
        <w:rPr>
          <w:rFonts w:ascii="TH Sarabun New" w:hAnsi="TH Sarabun New" w:cs="TH Sarabun New" w:eastAsia="TH Sarabun New"/>
          <w:b w:val="0"/>
          <w:i w:val="0"/>
          <w:sz w:val="32"/>
          <w:szCs w:val="32"/>
        </w:rPr>
        <w:t>4.4 งบประมาณและการวิเคราะห์ความคุ้มค่า (BCR)</w:t>
      </w:r>
      <w:r>
        <w:rPr>
          <w:rFonts w:ascii="TH Sarabun New" w:hAnsi="TH Sarabun New" w:cs="TH Sarabun New" w:eastAsia="TH Sarabun New"/>
          <w:b w:val="0"/>
          <w:i w:val="0"/>
          <w:sz w:val="32"/>
          <w:szCs w:val="32"/>
        </w:rPr>
        <w:tab/>
        <w:t>22</w:t>
      </w:r>
    </w:p>
    <w:p>
      <w:pPr>
        <w:tabs>
          <w:tab w:pos="8504" w:val="right" w:leader="dot"/>
        </w:tabs>
        <w:spacing w:line="240" w:lineRule="auto" w:after="80"/>
        <w:ind w:left="397"/>
      </w:pPr>
      <w:r>
        <w:rPr>
          <w:rFonts w:ascii="TH Sarabun New" w:hAnsi="TH Sarabun New" w:cs="TH Sarabun New" w:eastAsia="TH Sarabun New"/>
          <w:b w:val="0"/>
          <w:i w:val="0"/>
          <w:sz w:val="32"/>
          <w:szCs w:val="32"/>
        </w:rPr>
        <w:t>4.5 ปัจจัยแห่งความสำเร็จและการบริหารความเสี่ยง</w:t>
      </w:r>
      <w:r>
        <w:rPr>
          <w:rFonts w:ascii="TH Sarabun New" w:hAnsi="TH Sarabun New" w:cs="TH Sarabun New" w:eastAsia="TH Sarabun New"/>
          <w:b w:val="0"/>
          <w:i w:val="0"/>
          <w:sz w:val="32"/>
          <w:szCs w:val="32"/>
        </w:rPr>
        <w:tab/>
        <w:t>24</w:t>
      </w:r>
    </w:p>
    <w:p>
      <w:pPr>
        <w:tabs>
          <w:tab w:pos="8504" w:val="right" w:leader="dot"/>
        </w:tabs>
        <w:spacing w:line="240" w:lineRule="auto" w:after="80"/>
        <w:ind w:left="397"/>
      </w:pPr>
      <w:r>
        <w:rPr>
          <w:rFonts w:ascii="TH Sarabun New" w:hAnsi="TH Sarabun New" w:cs="TH Sarabun New" w:eastAsia="TH Sarabun New"/>
          <w:b w:val="0"/>
          <w:i w:val="0"/>
          <w:sz w:val="32"/>
          <w:szCs w:val="32"/>
        </w:rPr>
        <w:t>4.6 ตัวชี้วัดความสำเร็จ (KPI)</w:t>
      </w:r>
      <w:r>
        <w:rPr>
          <w:rFonts w:ascii="TH Sarabun New" w:hAnsi="TH Sarabun New" w:cs="TH Sarabun New" w:eastAsia="TH Sarabun New"/>
          <w:b w:val="0"/>
          <w:i w:val="0"/>
          <w:sz w:val="32"/>
          <w:szCs w:val="32"/>
        </w:rPr>
        <w:tab/>
        <w:t>26</w:t>
      </w:r>
    </w:p>
    <w:p>
      <w:pPr>
        <w:tabs>
          <w:tab w:pos="8504" w:val="right" w:leader="dot"/>
        </w:tabs>
        <w:spacing w:line="240" w:lineRule="auto" w:after="80"/>
        <w:ind w:left="397"/>
      </w:pPr>
      <w:r>
        <w:rPr>
          <w:rFonts w:ascii="TH Sarabun New" w:hAnsi="TH Sarabun New" w:cs="TH Sarabun New" w:eastAsia="TH Sarabun New"/>
          <w:b w:val="0"/>
          <w:i w:val="0"/>
          <w:sz w:val="32"/>
          <w:szCs w:val="32"/>
        </w:rPr>
        <w:t>4.7 แผนการบริหารการเปลี่ยนแปลงและการสื่อสาร</w:t>
      </w:r>
      <w:r>
        <w:rPr>
          <w:rFonts w:ascii="TH Sarabun New" w:hAnsi="TH Sarabun New" w:cs="TH Sarabun New" w:eastAsia="TH Sarabun New"/>
          <w:b w:val="0"/>
          <w:i w:val="0"/>
          <w:sz w:val="32"/>
          <w:szCs w:val="32"/>
        </w:rPr>
        <w:tab/>
        <w:t>27</w:t>
      </w:r>
    </w:p>
    <w:p>
      <w:pPr>
        <w:tabs>
          <w:tab w:pos="8504" w:val="right" w:leader="dot"/>
        </w:tabs>
        <w:spacing w:line="240" w:lineRule="auto" w:after="80"/>
        <w:ind w:left="397"/>
      </w:pPr>
      <w:r>
        <w:rPr>
          <w:rFonts w:ascii="TH Sarabun New" w:hAnsi="TH Sarabun New" w:cs="TH Sarabun New" w:eastAsia="TH Sarabun New"/>
          <w:b w:val="0"/>
          <w:i w:val="0"/>
          <w:sz w:val="32"/>
          <w:szCs w:val="32"/>
        </w:rPr>
        <w:t>4.8 กรอบการติดตามและประเมินผล (M&amp;E)</w:t>
      </w:r>
      <w:r>
        <w:rPr>
          <w:rFonts w:ascii="TH Sarabun New" w:hAnsi="TH Sarabun New" w:cs="TH Sarabun New" w:eastAsia="TH Sarabun New"/>
          <w:b w:val="0"/>
          <w:i w:val="0"/>
          <w:sz w:val="32"/>
          <w:szCs w:val="32"/>
        </w:rPr>
        <w:tab/>
        <w:t>27</w:t>
      </w:r>
    </w:p>
    <w:p>
      <w:pPr>
        <w:tabs>
          <w:tab w:pos="8504" w:val="right" w:leader="dot"/>
        </w:tabs>
        <w:spacing w:line="240" w:lineRule="auto" w:after="80"/>
        <w:ind w:left="0"/>
      </w:pPr>
      <w:r>
        <w:rPr>
          <w:rFonts w:ascii="TH Sarabun New" w:hAnsi="TH Sarabun New" w:cs="TH Sarabun New" w:eastAsia="TH Sarabun New"/>
          <w:b/>
          <w:i w:val="0"/>
          <w:sz w:val="32"/>
          <w:szCs w:val="32"/>
        </w:rPr>
        <w:t>5. สรุปในภาพรวม</w:t>
      </w:r>
      <w:r>
        <w:rPr>
          <w:rFonts w:ascii="TH Sarabun New" w:hAnsi="TH Sarabun New" w:cs="TH Sarabun New" w:eastAsia="TH Sarabun New"/>
          <w:b/>
          <w:i w:val="0"/>
          <w:sz w:val="32"/>
          <w:szCs w:val="32"/>
        </w:rPr>
        <w:tab/>
        <w:t>27</w:t>
      </w:r>
    </w:p>
    <w:p>
      <w:pPr>
        <w:tabs>
          <w:tab w:pos="8504" w:val="right" w:leader="dot"/>
        </w:tabs>
        <w:spacing w:line="240" w:lineRule="auto" w:after="80"/>
        <w:ind w:left="397"/>
      </w:pPr>
      <w:r>
        <w:rPr>
          <w:rFonts w:ascii="TH Sarabun New" w:hAnsi="TH Sarabun New" w:cs="TH Sarabun New" w:eastAsia="TH Sarabun New"/>
          <w:b w:val="0"/>
          <w:i w:val="0"/>
          <w:sz w:val="32"/>
          <w:szCs w:val="32"/>
        </w:rPr>
        <w:t>5.1 ข้อเสนอเชิงนโยบายโดยสรุป</w:t>
      </w:r>
      <w:r>
        <w:rPr>
          <w:rFonts w:ascii="TH Sarabun New" w:hAnsi="TH Sarabun New" w:cs="TH Sarabun New" w:eastAsia="TH Sarabun New"/>
          <w:b w:val="0"/>
          <w:i w:val="0"/>
          <w:sz w:val="32"/>
          <w:szCs w:val="32"/>
        </w:rPr>
        <w:tab/>
        <w:t>28</w:t>
      </w:r>
    </w:p>
    <w:p>
      <w:pPr>
        <w:tabs>
          <w:tab w:pos="8504" w:val="right" w:leader="dot"/>
        </w:tabs>
        <w:spacing w:line="240" w:lineRule="auto" w:after="80"/>
        <w:ind w:left="397"/>
      </w:pPr>
      <w:r>
        <w:rPr>
          <w:rFonts w:ascii="TH Sarabun New" w:hAnsi="TH Sarabun New" w:cs="TH Sarabun New" w:eastAsia="TH Sarabun New"/>
          <w:b w:val="0"/>
          <w:i w:val="0"/>
          <w:sz w:val="32"/>
          <w:szCs w:val="32"/>
        </w:rPr>
        <w:t>5.2 บทเรียนที่ได้เรียนรู้จากการจัดทำรายงาน</w:t>
      </w:r>
      <w:r>
        <w:rPr>
          <w:rFonts w:ascii="TH Sarabun New" w:hAnsi="TH Sarabun New" w:cs="TH Sarabun New" w:eastAsia="TH Sarabun New"/>
          <w:b w:val="0"/>
          <w:i w:val="0"/>
          <w:sz w:val="32"/>
          <w:szCs w:val="32"/>
        </w:rPr>
        <w:tab/>
        <w:t>28</w:t>
      </w:r>
    </w:p>
    <w:p>
      <w:pPr>
        <w:tabs>
          <w:tab w:pos="8504" w:val="right" w:leader="dot"/>
        </w:tabs>
        <w:spacing w:line="240" w:lineRule="auto" w:after="80"/>
        <w:ind w:left="397"/>
      </w:pPr>
      <w:r>
        <w:rPr>
          <w:rFonts w:ascii="TH Sarabun New" w:hAnsi="TH Sarabun New" w:cs="TH Sarabun New" w:eastAsia="TH Sarabun New"/>
          <w:b w:val="0"/>
          <w:i w:val="0"/>
          <w:sz w:val="32"/>
          <w:szCs w:val="32"/>
        </w:rPr>
        <w:t>5.3 ข้อจำกัดของการศึกษาและข้อเสนอแนะสำหรับการศึกษาต่อยอด</w:t>
      </w:r>
      <w:r>
        <w:rPr>
          <w:rFonts w:ascii="TH Sarabun New" w:hAnsi="TH Sarabun New" w:cs="TH Sarabun New" w:eastAsia="TH Sarabun New"/>
          <w:b w:val="0"/>
          <w:i w:val="0"/>
          <w:sz w:val="32"/>
          <w:szCs w:val="32"/>
        </w:rPr>
        <w:tab/>
        <w:t>29</w:t>
      </w:r>
    </w:p>
    <w:p>
      <w:pPr>
        <w:tabs>
          <w:tab w:pos="8504" w:val="right" w:leader="dot"/>
        </w:tabs>
        <w:spacing w:line="240" w:lineRule="auto" w:after="80"/>
        <w:ind w:left="0"/>
      </w:pPr>
      <w:r>
        <w:rPr>
          <w:rFonts w:ascii="TH Sarabun New" w:hAnsi="TH Sarabun New" w:cs="TH Sarabun New" w:eastAsia="TH Sarabun New"/>
          <w:b/>
          <w:i w:val="0"/>
          <w:sz w:val="32"/>
          <w:szCs w:val="32"/>
        </w:rPr>
        <w:t>บรรณานุกรม</w:t>
      </w:r>
      <w:r>
        <w:rPr>
          <w:rFonts w:ascii="TH Sarabun New" w:hAnsi="TH Sarabun New" w:cs="TH Sarabun New" w:eastAsia="TH Sarabun New"/>
          <w:b/>
          <w:i w:val="0"/>
          <w:sz w:val="32"/>
          <w:szCs w:val="32"/>
        </w:rPr>
        <w:tab/>
        <w:t>31</w:t>
      </w:r>
    </w:p>
    <w:p>
      <w:pPr>
        <w:tabs>
          <w:tab w:pos="8504" w:val="right" w:leader="dot"/>
        </w:tabs>
        <w:spacing w:line="240" w:lineRule="auto" w:after="80"/>
        <w:ind w:left="0"/>
      </w:pPr>
      <w:r>
        <w:rPr>
          <w:rFonts w:ascii="TH Sarabun New" w:hAnsi="TH Sarabun New" w:cs="TH Sarabun New" w:eastAsia="TH Sarabun New"/>
          <w:b/>
          <w:i w:val="0"/>
          <w:sz w:val="32"/>
          <w:szCs w:val="32"/>
        </w:rPr>
        <w:t>ภาคผนวก</w:t>
      </w:r>
      <w:r>
        <w:rPr>
          <w:rFonts w:ascii="TH Sarabun New" w:hAnsi="TH Sarabun New" w:cs="TH Sarabun New" w:eastAsia="TH Sarabun New"/>
          <w:b/>
          <w:i w:val="0"/>
          <w:sz w:val="32"/>
          <w:szCs w:val="32"/>
        </w:rPr>
        <w:tab/>
        <w:t>34</w:t>
      </w:r>
    </w:p>
    <w:p>
      <w:pPr>
        <w:tabs>
          <w:tab w:pos="8504" w:val="right" w:leader="dot"/>
        </w:tabs>
        <w:spacing w:line="240" w:lineRule="auto" w:after="80"/>
        <w:ind w:left="397"/>
      </w:pPr>
      <w:r>
        <w:rPr>
          <w:rFonts w:ascii="TH Sarabun New" w:hAnsi="TH Sarabun New" w:cs="TH Sarabun New" w:eastAsia="TH Sarabun New"/>
          <w:b w:val="0"/>
          <w:i w:val="0"/>
          <w:sz w:val="32"/>
          <w:szCs w:val="32"/>
        </w:rPr>
        <w:t>ภาคผนวก ก  รายละเอียดกรณีศึกษาในต่างประเทศ</w:t>
      </w:r>
      <w:r>
        <w:rPr>
          <w:rFonts w:ascii="TH Sarabun New" w:hAnsi="TH Sarabun New" w:cs="TH Sarabun New" w:eastAsia="TH Sarabun New"/>
          <w:b w:val="0"/>
          <w:i w:val="0"/>
          <w:sz w:val="32"/>
          <w:szCs w:val="32"/>
        </w:rPr>
        <w:tab/>
        <w:t>34</w:t>
      </w:r>
    </w:p>
    <w:p>
      <w:pPr>
        <w:tabs>
          <w:tab w:pos="8504" w:val="right" w:leader="dot"/>
        </w:tabs>
        <w:spacing w:line="240" w:lineRule="auto" w:after="80"/>
        <w:ind w:left="397"/>
      </w:pPr>
      <w:r>
        <w:rPr>
          <w:rFonts w:ascii="TH Sarabun New" w:hAnsi="TH Sarabun New" w:cs="TH Sarabun New" w:eastAsia="TH Sarabun New"/>
          <w:b w:val="0"/>
          <w:i w:val="0"/>
          <w:sz w:val="32"/>
          <w:szCs w:val="32"/>
        </w:rPr>
        <w:t>ภาคผนวก ข  บทวิเคราะห์ SOAR และ PESTEL โดยละเอียด</w:t>
        <w:tab/>
        <w:t>37</w:t>
      </w:r>
      <w:r>
        <w:rPr>
          <w:rFonts w:ascii="TH Sarabun New" w:hAnsi="TH Sarabun New" w:cs="TH Sarabun New" w:eastAsia="TH Sarabun New"/>
          <w:b w:val="0"/>
          <w:i w:val="0"/>
          <w:sz w:val="32"/>
          <w:szCs w:val="32"/>
        </w:rPr>
      </w:r>
    </w:p>
    <w:p>
      <w:pPr>
        <w:tabs>
          <w:tab w:pos="8504" w:val="right" w:leader="dot"/>
        </w:tabs>
        <w:spacing w:line="240" w:lineRule="auto" w:after="80"/>
        <w:ind w:left="397"/>
      </w:pPr>
      <w:r>
        <w:rPr>
          <w:rFonts w:ascii="TH Sarabun New" w:hAnsi="TH Sarabun New" w:cs="TH Sarabun New" w:eastAsia="TH Sarabun New"/>
          <w:b w:val="0"/>
          <w:i w:val="0"/>
          <w:sz w:val="32"/>
          <w:szCs w:val="32"/>
        </w:rPr>
        <w:t>ภาคผนวก ค  งบประมาณและการวิเคราะห์ความคุ้มค่า</w:t>
      </w:r>
      <w:r>
        <w:rPr>
          <w:rFonts w:ascii="TH Sarabun New" w:hAnsi="TH Sarabun New" w:cs="TH Sarabun New" w:eastAsia="TH Sarabun New"/>
          <w:b w:val="0"/>
          <w:i w:val="0"/>
          <w:sz w:val="32"/>
          <w:szCs w:val="32"/>
        </w:rPr>
        <w:tab/>
        <w:t>39</w:t>
      </w:r>
    </w:p>
    <w:p>
      <w:pPr>
        <w:tabs>
          <w:tab w:pos="8504" w:val="right" w:leader="dot"/>
        </w:tabs>
        <w:spacing w:line="240" w:lineRule="auto" w:after="80"/>
        <w:ind w:left="397"/>
      </w:pPr>
      <w:r>
        <w:rPr>
          <w:rFonts w:ascii="TH Sarabun New" w:hAnsi="TH Sarabun New" w:cs="TH Sarabun New" w:eastAsia="TH Sarabun New"/>
          <w:b w:val="0"/>
          <w:i w:val="0"/>
          <w:sz w:val="32"/>
          <w:szCs w:val="32"/>
        </w:rPr>
        <w:t>ภาคผนวก ง  มาตรฐานทางเทคนิคและสถาปัตยกรรมข้อมูล</w:t>
      </w:r>
      <w:r>
        <w:rPr>
          <w:rFonts w:ascii="TH Sarabun New" w:hAnsi="TH Sarabun New" w:cs="TH Sarabun New" w:eastAsia="TH Sarabun New"/>
          <w:b w:val="0"/>
          <w:i w:val="0"/>
          <w:sz w:val="32"/>
          <w:szCs w:val="32"/>
        </w:rPr>
        <w:tab/>
        <w:t>41</w:t>
      </w:r>
    </w:p>
    <w:p>
      <w:pPr>
        <w:tabs>
          <w:tab w:pos="8504" w:val="right" w:leader="dot"/>
        </w:tabs>
        <w:spacing w:line="240" w:lineRule="auto" w:after="80"/>
        <w:ind w:left="397"/>
      </w:pPr>
      <w:r>
        <w:rPr>
          <w:rFonts w:ascii="TH Sarabun New" w:hAnsi="TH Sarabun New" w:cs="TH Sarabun New" w:eastAsia="TH Sarabun New"/>
          <w:b w:val="0"/>
          <w:i w:val="0"/>
          <w:sz w:val="32"/>
          <w:szCs w:val="32"/>
        </w:rPr>
        <w:t>ภาคผนวก จ  ข้อมูลพื้นที่จังหวัดสมุทรปราการ</w:t>
      </w:r>
      <w:r>
        <w:rPr>
          <w:rFonts w:ascii="TH Sarabun New" w:hAnsi="TH Sarabun New" w:cs="TH Sarabun New" w:eastAsia="TH Sarabun New"/>
          <w:b w:val="0"/>
          <w:i w:val="0"/>
          <w:sz w:val="32"/>
          <w:szCs w:val="32"/>
        </w:rPr>
        <w:tab/>
        <w:t>43</w:t>
      </w:r>
    </w:p>
    <w:p>
      <w:pPr>
        <w:tabs>
          <w:tab w:pos="8504" w:val="right" w:leader="dot"/>
        </w:tabs>
        <w:spacing w:line="240" w:lineRule="auto" w:after="80"/>
        <w:ind w:left="397"/>
      </w:pPr>
      <w:r>
        <w:rPr>
          <w:rFonts w:ascii="TH Sarabun New" w:hAnsi="TH Sarabun New" w:cs="TH Sarabun New" w:eastAsia="TH Sarabun New"/>
          <w:b w:val="0"/>
          <w:i w:val="0"/>
          <w:sz w:val="32"/>
          <w:szCs w:val="32"/>
        </w:rPr>
        <w:t>ภาคผนวก ฉ  แผนปฏิบัติการและตารางความรับผิดชอบ (RACI)</w:t>
      </w:r>
      <w:r>
        <w:rPr>
          <w:rFonts w:ascii="TH Sarabun New" w:hAnsi="TH Sarabun New" w:cs="TH Sarabun New" w:eastAsia="TH Sarabun New"/>
          <w:b w:val="0"/>
          <w:i w:val="0"/>
          <w:sz w:val="32"/>
          <w:szCs w:val="32"/>
        </w:rPr>
        <w:tab/>
        <w:t>45</w:t>
      </w:r>
    </w:p>
    <w:p>
      <w:pPr>
        <w:tabs>
          <w:tab w:pos="8504" w:val="right" w:leader="dot"/>
        </w:tabs>
        <w:spacing w:line="240" w:lineRule="auto" w:after="80"/>
        <w:ind w:left="397"/>
      </w:pPr>
      <w:r>
        <w:rPr>
          <w:rFonts w:ascii="TH Sarabun New" w:hAnsi="TH Sarabun New" w:cs="TH Sarabun New" w:eastAsia="TH Sarabun New"/>
          <w:b w:val="0"/>
          <w:i w:val="0"/>
          <w:sz w:val="32"/>
          <w:szCs w:val="32"/>
        </w:rPr>
        <w:t>ภาคผนวก ช  กรอบการติดตามและประเมินผล (M&amp;E)</w:t>
      </w:r>
      <w:r>
        <w:rPr>
          <w:rFonts w:ascii="TH Sarabun New" w:hAnsi="TH Sarabun New" w:cs="TH Sarabun New" w:eastAsia="TH Sarabun New"/>
          <w:b w:val="0"/>
          <w:i w:val="0"/>
          <w:sz w:val="32"/>
          <w:szCs w:val="32"/>
        </w:rPr>
        <w:tab/>
        <w:t>46</w:t>
      </w:r>
    </w:p>
    <w:p>
      <w:pPr>
        <w:tabs>
          <w:tab w:pos="8504" w:val="right" w:leader="dot"/>
        </w:tabs>
        <w:spacing w:line="240" w:lineRule="auto" w:after="80"/>
        <w:ind w:left="397"/>
      </w:pPr>
      <w:r>
        <w:rPr>
          <w:rFonts w:ascii="TH Sarabun New" w:hAnsi="TH Sarabun New" w:cs="TH Sarabun New" w:eastAsia="TH Sarabun New"/>
          <w:b w:val="0"/>
          <w:i w:val="0"/>
          <w:sz w:val="32"/>
          <w:szCs w:val="32"/>
        </w:rPr>
        <w:t>ภาคผนวก ซ  เครื่องมือดิจิทัลประกอบการนำเสนอ</w:t>
      </w:r>
      <w:r>
        <w:rPr>
          <w:rFonts w:ascii="TH Sarabun New" w:hAnsi="TH Sarabun New" w:cs="TH Sarabun New" w:eastAsia="TH Sarabun New"/>
          <w:b w:val="0"/>
          <w:i w:val="0"/>
          <w:sz w:val="32"/>
          <w:szCs w:val="32"/>
        </w:rPr>
        <w:tab/>
        <w:t>47</w:t>
      </w:r>
    </w:p>
    <w:p>
      <w:pPr>
        <w:tabs>
          <w:tab w:pos="8504" w:val="right" w:leader="dot"/>
        </w:tabs>
        <w:spacing w:line="240" w:lineRule="auto" w:after="80"/>
        <w:ind w:left="397"/>
      </w:pPr>
      <w:r>
        <w:rPr>
          <w:rFonts w:ascii="TH Sarabun New" w:hAnsi="TH Sarabun New" w:cs="TH Sarabun New" w:eastAsia="TH Sarabun New"/>
          <w:b w:val="0"/>
          <w:i w:val="0"/>
          <w:sz w:val="32"/>
          <w:szCs w:val="32"/>
        </w:rPr>
        <w:t>ภาคผนวก ฌ  อภิธานศัพท์และคำย่อ</w:t>
      </w:r>
      <w:r>
        <w:rPr>
          <w:rFonts w:ascii="TH Sarabun New" w:hAnsi="TH Sarabun New" w:cs="TH Sarabun New" w:eastAsia="TH Sarabun New"/>
          <w:b w:val="0"/>
          <w:i w:val="0"/>
          <w:sz w:val="32"/>
          <w:szCs w:val="32"/>
        </w:rPr>
        <w:tab/>
        <w:t>48</w:t>
      </w:r>
    </w:p>
    <w:p>
      <w:pPr>
        <w:tabs>
          <w:tab w:pos="8504" w:val="right" w:leader="dot"/>
        </w:tabs>
        <w:spacing w:line="240" w:lineRule="auto" w:after="80"/>
        <w:ind w:left="397"/>
      </w:pPr>
      <w:r>
        <w:rPr>
          <w:rFonts w:ascii="TH Sarabun New" w:hAnsi="TH Sarabun New" w:cs="TH Sarabun New" w:eastAsia="TH Sarabun New"/>
          <w:b w:val="0"/>
          <w:i w:val="0"/>
          <w:sz w:val="32"/>
          <w:szCs w:val="32"/>
        </w:rPr>
        <w:t>ภาคผนวก ญ  การวิเคราะห์เชิงกลยุทธ์เพิ่มเติม (7S/BSC/VRIO)</w:t>
      </w:r>
      <w:r>
        <w:rPr>
          <w:rFonts w:ascii="TH Sarabun New" w:hAnsi="TH Sarabun New" w:cs="TH Sarabun New" w:eastAsia="TH Sarabun New"/>
          <w:b w:val="0"/>
          <w:i w:val="0"/>
          <w:sz w:val="32"/>
          <w:szCs w:val="32"/>
        </w:rPr>
        <w:tab/>
        <w:t>50</w:t>
      </w:r>
    </w:p>
    <w:p>
      <w:pPr>
        <w:tabs>
          <w:tab w:pos="8504" w:val="right" w:leader="dot"/>
        </w:tabs>
        <w:spacing w:line="240" w:lineRule="auto" w:after="80"/>
        <w:ind w:left="0"/>
      </w:pPr>
      <w:r>
        <w:rPr>
          <w:rFonts w:ascii="TH Sarabun New" w:hAnsi="TH Sarabun New" w:cs="TH Sarabun New" w:eastAsia="TH Sarabun New"/>
          <w:b/>
          <w:i w:val="0"/>
          <w:sz w:val="32"/>
          <w:szCs w:val="32"/>
        </w:rPr>
        <w:t>คณะผู้จัดทำ</w:t>
      </w:r>
      <w:r>
        <w:rPr>
          <w:rFonts w:ascii="TH Sarabun New" w:hAnsi="TH Sarabun New" w:cs="TH Sarabun New" w:eastAsia="TH Sarabun New"/>
          <w:b/>
          <w:i w:val="0"/>
          <w:sz w:val="32"/>
          <w:szCs w:val="32"/>
        </w:rPr>
        <w:tab/>
        <w:t>53</w:t>
      </w:r>
    </w:p>
    <w:p>
      <w:pPr>
        <w:spacing w:line="240" w:lineRule="auto" w:before="160" w:after="0"/>
        <w:jc w:val="left"/>
      </w:pPr>
      <w:r>
        <w:rPr>
          <w:rFonts w:ascii="TH Sarabun New" w:hAnsi="TH Sarabun New" w:cs="TH Sarabun New" w:eastAsia="TH Sarabun New"/>
          <w:b w:val="0"/>
          <w:i/>
          <w:color w:val="808080"/>
          <w:sz w:val="26"/>
          <w:szCs w:val="26"/>
        </w:rPr>
        <w:t>หมายเหตุ: เลขหน้าตรงกับฉบับร่างนี้ · หากแก้ไขเนื้อหาเพิ่มเติม โปรดปรับเลขหน้าให้ตรงก่อนส่ง</w:t>
      </w:r>
    </w:p>
    <w:p>
      <w:r>
        <w:br w:type="page"/>
      </w:r>
    </w:p>
    <w:p>
      <w:pPr>
        <w:spacing w:line="240" w:lineRule="auto" w:before="0" w:after="280"/>
        <w:jc w:val="center"/>
      </w:pPr>
      <w:r>
        <w:rPr>
          <w:rFonts w:ascii="TH Sarabun New" w:hAnsi="TH Sarabun New" w:cs="TH Sarabun New" w:eastAsia="TH Sarabun New"/>
          <w:b/>
          <w:i w:val="0"/>
          <w:sz w:val="36"/>
          <w:szCs w:val="36"/>
        </w:rPr>
        <w:t>สารบัญตาราง</w:t>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1  เปรียบเทียบกรณีศึกษาการบูรณาการระบบขนส่งสาธารณะในต่างประเทศ</w:t>
      </w:r>
      <w:r>
        <w:rPr>
          <w:rFonts w:ascii="TH Sarabun New" w:hAnsi="TH Sarabun New" w:cs="TH Sarabun New" w:eastAsia="TH Sarabun New"/>
          <w:b w:val="0"/>
          <w:i w:val="0"/>
          <w:sz w:val="32"/>
          <w:szCs w:val="32"/>
        </w:rPr>
        <w:tab/>
        <w:t>5</w:t>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2  การวิเคราะห์ SOAR: จุดแข็งและโอกาส (S–O)</w:t>
        <w:tab/>
        <w:t>7</w:t>
      </w:r>
      <w:r>
        <w:rPr>
          <w:rFonts w:ascii="TH Sarabun New" w:hAnsi="TH Sarabun New" w:cs="TH Sarabun New" w:eastAsia="TH Sarabun New"/>
          <w:b w:val="0"/>
          <w:i w:val="0"/>
          <w:sz w:val="32"/>
          <w:szCs w:val="32"/>
        </w:rPr>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3  การวิเคราะห์ SOAR: ความมุ่งปรารถนาและผลลัพธ์ (A–R)</w:t>
        <w:tab/>
        <w:t>7</w:t>
      </w:r>
      <w:r>
        <w:rPr>
          <w:rFonts w:ascii="TH Sarabun New" w:hAnsi="TH Sarabun New" w:cs="TH Sarabun New" w:eastAsia="TH Sarabun New"/>
          <w:b w:val="0"/>
          <w:i w:val="0"/>
          <w:sz w:val="32"/>
          <w:szCs w:val="32"/>
        </w:rPr>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4  การวิเคราะห์สภาพแวดล้อมภายนอก (PESTEL)</w:t>
      </w:r>
      <w:r>
        <w:rPr>
          <w:rFonts w:ascii="TH Sarabun New" w:hAnsi="TH Sarabun New" w:cs="TH Sarabun New" w:eastAsia="TH Sarabun New"/>
          <w:b w:val="0"/>
          <w:i w:val="0"/>
          <w:sz w:val="32"/>
          <w:szCs w:val="32"/>
        </w:rPr>
        <w:tab/>
        <w:t>9</w:t>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5  ความสอดคล้องของโจทย์หลักกับยุทธศาสตร์และนโยบายระดับชาติ</w:t>
      </w:r>
      <w:r>
        <w:rPr>
          <w:rFonts w:ascii="TH Sarabun New" w:hAnsi="TH Sarabun New" w:cs="TH Sarabun New" w:eastAsia="TH Sarabun New"/>
          <w:b w:val="0"/>
          <w:i w:val="0"/>
          <w:sz w:val="32"/>
          <w:szCs w:val="32"/>
        </w:rPr>
        <w:tab/>
        <w:t>12</w:t>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6  กรอบ 4 เสาหลักของการบูรณาการคมนาคม</w:t>
      </w:r>
      <w:r>
        <w:rPr>
          <w:rFonts w:ascii="TH Sarabun New" w:hAnsi="TH Sarabun New" w:cs="TH Sarabun New" w:eastAsia="TH Sarabun New"/>
          <w:b w:val="0"/>
          <w:i w:val="0"/>
          <w:sz w:val="32"/>
          <w:szCs w:val="32"/>
        </w:rPr>
        <w:tab/>
        <w:t>13</w:t>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7  หน่วยงานเจ้าภาพหลักและเจ้าภาพรองในการขับเคลื่อน</w:t>
      </w:r>
      <w:r>
        <w:rPr>
          <w:rFonts w:ascii="TH Sarabun New" w:hAnsi="TH Sarabun New" w:cs="TH Sarabun New" w:eastAsia="TH Sarabun New"/>
          <w:b w:val="0"/>
          <w:i w:val="0"/>
          <w:sz w:val="32"/>
          <w:szCs w:val="32"/>
        </w:rPr>
        <w:tab/>
        <w:t>19</w:t>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8  แผนการดำเนินงาน 4 เสาหลักในพื้นที่นำร่องจังหวัดสมุทรปราการ</w:t>
      </w:r>
      <w:r>
        <w:rPr>
          <w:rFonts w:ascii="TH Sarabun New" w:hAnsi="TH Sarabun New" w:cs="TH Sarabun New" w:eastAsia="TH Sarabun New"/>
          <w:b w:val="0"/>
          <w:i w:val="0"/>
          <w:sz w:val="32"/>
          <w:szCs w:val="32"/>
        </w:rPr>
        <w:tab/>
        <w:t>21</w:t>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9  แผนการดำเนินงานระยะยาว 10 ปี แบ่งเป็น 3 ระยะ</w:t>
      </w:r>
      <w:r>
        <w:rPr>
          <w:rFonts w:ascii="TH Sarabun New" w:hAnsi="TH Sarabun New" w:cs="TH Sarabun New" w:eastAsia="TH Sarabun New"/>
          <w:b w:val="0"/>
          <w:i w:val="0"/>
          <w:sz w:val="32"/>
          <w:szCs w:val="32"/>
        </w:rPr>
        <w:tab/>
        <w:t>21</w:t>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10  ประมาณการงบประมาณการลงทุนจำแนกตามเสาหลัก (10 ปี)</w:t>
      </w:r>
      <w:r>
        <w:rPr>
          <w:rFonts w:ascii="TH Sarabun New" w:hAnsi="TH Sarabun New" w:cs="TH Sarabun New" w:eastAsia="TH Sarabun New"/>
          <w:b w:val="0"/>
          <w:i w:val="0"/>
          <w:sz w:val="32"/>
          <w:szCs w:val="32"/>
        </w:rPr>
        <w:tab/>
        <w:t>22</w:t>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11  ประมาณการรายได้ใหม่จากมาตรการทางเศรษฐศาสตร์ (ต่อปี)</w:t>
      </w:r>
      <w:r>
        <w:rPr>
          <w:rFonts w:ascii="TH Sarabun New" w:hAnsi="TH Sarabun New" w:cs="TH Sarabun New" w:eastAsia="TH Sarabun New"/>
          <w:b w:val="0"/>
          <w:i w:val="0"/>
          <w:sz w:val="32"/>
          <w:szCs w:val="32"/>
        </w:rPr>
        <w:tab/>
        <w:t>23</w:t>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12  ความเสี่ยงสำคัญและแผนบริหารความเสี่ยง</w:t>
      </w:r>
      <w:r>
        <w:rPr>
          <w:rFonts w:ascii="TH Sarabun New" w:hAnsi="TH Sarabun New" w:cs="TH Sarabun New" w:eastAsia="TH Sarabun New"/>
          <w:b w:val="0"/>
          <w:i w:val="0"/>
          <w:sz w:val="32"/>
          <w:szCs w:val="32"/>
        </w:rPr>
        <w:tab/>
        <w:t>24</w:t>
      </w:r>
    </w:p>
    <w:p>
      <w:pPr>
        <w:tabs>
          <w:tab w:pos="8504" w:val="right" w:leader="dot"/>
        </w:tabs>
        <w:spacing w:line="240" w:lineRule="auto" w:after="80"/>
        <w:ind w:left="0"/>
      </w:pPr>
      <w:r>
        <w:rPr>
          <w:rFonts w:ascii="TH Sarabun New" w:hAnsi="TH Sarabun New" w:cs="TH Sarabun New" w:eastAsia="TH Sarabun New"/>
          <w:b w:val="0"/>
          <w:i w:val="0"/>
          <w:sz w:val="32"/>
          <w:szCs w:val="32"/>
        </w:rPr>
        <w:t>ตารางที่ 13  ตัวชี้วัดความสำเร็จ (KPI) เป้าหมายปี พ.ศ. 2576</w:t>
      </w:r>
      <w:r>
        <w:rPr>
          <w:rFonts w:ascii="TH Sarabun New" w:hAnsi="TH Sarabun New" w:cs="TH Sarabun New" w:eastAsia="TH Sarabun New"/>
          <w:b w:val="0"/>
          <w:i w:val="0"/>
          <w:sz w:val="32"/>
          <w:szCs w:val="32"/>
        </w:rPr>
        <w:tab/>
        <w:t>26</w:t>
      </w:r>
    </w:p>
    <w:p>
      <w:r>
        <w:br w:type="page"/>
      </w:r>
    </w:p>
    <w:p>
      <w:pPr>
        <w:spacing w:line="240" w:lineRule="auto" w:before="0" w:after="280"/>
        <w:jc w:val="center"/>
      </w:pPr>
      <w:r>
        <w:rPr>
          <w:rFonts w:ascii="TH Sarabun New" w:hAnsi="TH Sarabun New" w:cs="TH Sarabun New" w:eastAsia="TH Sarabun New"/>
          <w:b/>
          <w:i w:val="0"/>
          <w:sz w:val="36"/>
          <w:szCs w:val="36"/>
        </w:rPr>
        <w:t>สารบัญภาพ</w:t>
      </w:r>
    </w:p>
    <w:p>
      <w:pPr>
        <w:tabs>
          <w:tab w:pos="8504" w:val="right" w:leader="dot"/>
        </w:tabs>
        <w:spacing w:line="240" w:lineRule="auto" w:after="80"/>
        <w:ind w:left="0"/>
      </w:pPr>
      <w:r>
        <w:rPr>
          <w:rFonts w:ascii="TH Sarabun New" w:hAnsi="TH Sarabun New" w:cs="TH Sarabun New" w:eastAsia="TH Sarabun New"/>
          <w:b w:val="0"/>
          <w:i w:val="0"/>
          <w:sz w:val="32"/>
          <w:szCs w:val="32"/>
        </w:rPr>
        <w:t>ภาพที่ 1  เปรียบเทียบสัดส่วนการเดินทางด้วยระบบขนส่งสาธารณะของเมืองต่าง ๆ</w:t>
      </w:r>
      <w:r>
        <w:rPr>
          <w:rFonts w:ascii="TH Sarabun New" w:hAnsi="TH Sarabun New" w:cs="TH Sarabun New" w:eastAsia="TH Sarabun New"/>
          <w:b w:val="0"/>
          <w:i w:val="0"/>
          <w:sz w:val="32"/>
          <w:szCs w:val="32"/>
        </w:rPr>
        <w:tab/>
        <w:t>4</w:t>
      </w:r>
    </w:p>
    <w:p>
      <w:pPr>
        <w:tabs>
          <w:tab w:pos="8504" w:val="right" w:leader="dot"/>
        </w:tabs>
        <w:spacing w:line="240" w:lineRule="auto" w:after="80"/>
        <w:ind w:left="0"/>
      </w:pPr>
      <w:r>
        <w:rPr>
          <w:rFonts w:ascii="TH Sarabun New" w:hAnsi="TH Sarabun New" w:cs="TH Sarabun New" w:eastAsia="TH Sarabun New"/>
          <w:b w:val="0"/>
          <w:i w:val="0"/>
          <w:sz w:val="32"/>
          <w:szCs w:val="32"/>
        </w:rPr>
        <w:t>ภาพที่ 2  การคาดการณ์สัดส่วนการเดินทางด้วยระบบขนส่งสาธารณะ 3 สถานการณ์</w:t>
      </w:r>
      <w:r>
        <w:rPr>
          <w:rFonts w:ascii="TH Sarabun New" w:hAnsi="TH Sarabun New" w:cs="TH Sarabun New" w:eastAsia="TH Sarabun New"/>
          <w:b w:val="0"/>
          <w:i w:val="0"/>
          <w:sz w:val="32"/>
          <w:szCs w:val="32"/>
        </w:rPr>
        <w:tab/>
        <w:t>11</w:t>
      </w:r>
    </w:p>
    <w:p>
      <w:pPr>
        <w:tabs>
          <w:tab w:pos="8504" w:val="right" w:leader="dot"/>
        </w:tabs>
        <w:spacing w:line="240" w:lineRule="auto" w:after="80"/>
        <w:ind w:left="0"/>
      </w:pPr>
      <w:r>
        <w:rPr>
          <w:rFonts w:ascii="TH Sarabun New" w:hAnsi="TH Sarabun New" w:cs="TH Sarabun New" w:eastAsia="TH Sarabun New"/>
          <w:b w:val="0"/>
          <w:i w:val="0"/>
          <w:sz w:val="32"/>
          <w:szCs w:val="32"/>
        </w:rPr>
        <w:t>ภาพที่ 3  กรอบแนวคิด 4 เสาหลักของการบูรณาการระบบคมนาคมขนส่ง</w:t>
      </w:r>
      <w:r>
        <w:rPr>
          <w:rFonts w:ascii="TH Sarabun New" w:hAnsi="TH Sarabun New" w:cs="TH Sarabun New" w:eastAsia="TH Sarabun New"/>
          <w:b w:val="0"/>
          <w:i w:val="0"/>
          <w:sz w:val="32"/>
          <w:szCs w:val="32"/>
        </w:rPr>
        <w:tab/>
        <w:t>14</w:t>
      </w:r>
    </w:p>
    <w:p>
      <w:pPr>
        <w:tabs>
          <w:tab w:pos="8504" w:val="right" w:leader="dot"/>
        </w:tabs>
        <w:spacing w:line="240" w:lineRule="auto" w:after="80"/>
        <w:ind w:left="0"/>
      </w:pPr>
      <w:r>
        <w:rPr>
          <w:rFonts w:ascii="TH Sarabun New" w:hAnsi="TH Sarabun New" w:cs="TH Sarabun New" w:eastAsia="TH Sarabun New"/>
          <w:b w:val="0"/>
          <w:i w:val="0"/>
          <w:sz w:val="32"/>
          <w:szCs w:val="32"/>
        </w:rPr>
        <w:t>ภาพที่ 4  โครงสร้างธรรมาภิบาลระบบตั๋วร่วมและหน่วยงานกลางประมวลผลรายได้ (NTCH)</w:t>
      </w:r>
      <w:r>
        <w:rPr>
          <w:rFonts w:ascii="TH Sarabun New" w:hAnsi="TH Sarabun New" w:cs="TH Sarabun New" w:eastAsia="TH Sarabun New"/>
          <w:b w:val="0"/>
          <w:i w:val="0"/>
          <w:sz w:val="32"/>
          <w:szCs w:val="32"/>
        </w:rPr>
        <w:tab/>
        <w:t>17</w:t>
      </w:r>
    </w:p>
    <w:p>
      <w:pPr>
        <w:tabs>
          <w:tab w:pos="8504" w:val="right" w:leader="dot"/>
        </w:tabs>
        <w:spacing w:line="240" w:lineRule="auto" w:after="80"/>
        <w:ind w:left="0"/>
      </w:pPr>
      <w:r>
        <w:rPr>
          <w:rFonts w:ascii="TH Sarabun New" w:hAnsi="TH Sarabun New" w:cs="TH Sarabun New" w:eastAsia="TH Sarabun New"/>
          <w:b w:val="0"/>
          <w:i w:val="0"/>
          <w:sz w:val="32"/>
          <w:szCs w:val="32"/>
        </w:rPr>
        <w:t>ภาพที่ 5  จังหวัดสมุทรปราการ พื้นที่นำร่อง และจุดยุทธศาสตร์ด้านการขนส่ง</w:t>
      </w:r>
      <w:r>
        <w:rPr>
          <w:rFonts w:ascii="TH Sarabun New" w:hAnsi="TH Sarabun New" w:cs="TH Sarabun New" w:eastAsia="TH Sarabun New"/>
          <w:b w:val="0"/>
          <w:i w:val="0"/>
          <w:sz w:val="32"/>
          <w:szCs w:val="32"/>
        </w:rPr>
        <w:tab/>
        <w:t>20</w:t>
      </w:r>
    </w:p>
    <w:p>
      <w:pPr>
        <w:tabs>
          <w:tab w:pos="8504" w:val="right" w:leader="dot"/>
        </w:tabs>
        <w:spacing w:line="240" w:lineRule="auto" w:after="80"/>
        <w:ind w:left="0"/>
      </w:pPr>
      <w:r>
        <w:rPr>
          <w:rFonts w:ascii="TH Sarabun New" w:hAnsi="TH Sarabun New" w:cs="TH Sarabun New" w:eastAsia="TH Sarabun New"/>
          <w:b w:val="0"/>
          <w:i w:val="0"/>
          <w:sz w:val="32"/>
          <w:szCs w:val="32"/>
        </w:rPr>
        <w:t>ภาพที่ 6  แผนการดำเนินงานระยะยาว 10 ปี แบ่งเป็น 3 ระยะ</w:t>
      </w:r>
      <w:r>
        <w:rPr>
          <w:rFonts w:ascii="TH Sarabun New" w:hAnsi="TH Sarabun New" w:cs="TH Sarabun New" w:eastAsia="TH Sarabun New"/>
          <w:b w:val="0"/>
          <w:i w:val="0"/>
          <w:sz w:val="32"/>
          <w:szCs w:val="32"/>
        </w:rPr>
        <w:tab/>
        <w:t>22</w:t>
      </w:r>
    </w:p>
    <w:p>
      <w:pPr>
        <w:tabs>
          <w:tab w:pos="8504" w:val="right" w:leader="dot"/>
        </w:tabs>
        <w:spacing w:line="240" w:lineRule="auto" w:after="80"/>
        <w:ind w:left="0"/>
      </w:pPr>
      <w:r>
        <w:rPr>
          <w:rFonts w:ascii="TH Sarabun New" w:hAnsi="TH Sarabun New" w:cs="TH Sarabun New" w:eastAsia="TH Sarabun New"/>
          <w:b w:val="0"/>
          <w:i w:val="0"/>
          <w:sz w:val="32"/>
          <w:szCs w:val="32"/>
        </w:rPr>
        <w:t>ภาพที่ 7  เปรียบเทียบเงินลงทุนกับรายได้ใหม่จากมาตรการทางเศรษฐศาสตร์</w:t>
      </w:r>
      <w:r>
        <w:rPr>
          <w:rFonts w:ascii="TH Sarabun New" w:hAnsi="TH Sarabun New" w:cs="TH Sarabun New" w:eastAsia="TH Sarabun New"/>
          <w:b w:val="0"/>
          <w:i w:val="0"/>
          <w:sz w:val="32"/>
          <w:szCs w:val="32"/>
        </w:rPr>
        <w:tab/>
        <w:t>24</w:t>
      </w:r>
    </w:p>
    <w:p>
      <w:pPr>
        <w:sectPr>
          <w:footerReference w:type="default" r:id="rId10"/>
          <w:headerReference w:type="default" r:id="rId11"/>
          <w:pgSz w:w="11906" w:h="16838"/>
          <w:pgMar w:top="2160" w:right="1440" w:bottom="1440" w:left="2160" w:header="720" w:footer="720" w:gutter="0"/>
          <w:cols w:space="720"/>
          <w:docGrid w:linePitch="360"/>
          <w:pgNumType w:fmt="thaiLetters" w:start="4"/>
        </w:sectPr>
      </w:pPr>
    </w:p>
    <w:p>
      <w:pPr>
        <w:keepNext/>
        <w:spacing w:before="360" w:after="200" w:line="240" w:lineRule="auto"/>
        <w:jc w:val="left"/>
      </w:pPr>
      <w:r>
        <w:rPr>
          <w:rFonts w:ascii="TH Sarabun New" w:hAnsi="TH Sarabun New" w:cs="TH Sarabun New" w:eastAsia="TH Sarabun New"/>
          <w:b/>
          <w:i w:val="0"/>
          <w:color w:val="1F3D6E"/>
          <w:sz w:val="36"/>
          <w:szCs w:val="36"/>
        </w:rPr>
        <w:t>1.  สภาพทั่วไปของปัญหา</w:t>
      </w:r>
    </w:p>
    <w:p>
      <w:pPr>
        <w:keepNext/>
        <w:spacing w:before="200" w:after="80" w:line="240" w:lineRule="auto"/>
      </w:pPr>
      <w:r>
        <w:rPr>
          <w:rFonts w:ascii="TH Sarabun New" w:hAnsi="TH Sarabun New" w:cs="TH Sarabun New" w:eastAsia="TH Sarabun New"/>
          <w:b/>
          <w:i w:val="0"/>
          <w:color w:val="1F3D6E"/>
          <w:sz w:val="32"/>
          <w:szCs w:val="32"/>
        </w:rPr>
        <w:t>1.1 หัวข้อและความสำคัญของการศึกษา</w:t>
      </w:r>
    </w:p>
    <w:p>
      <w:pPr>
        <w:spacing w:line="240" w:lineRule="auto" w:after="0"/>
        <w:ind w:firstLine="720"/>
        <w:jc w:val="left"/>
      </w:pPr>
      <w:r>
        <w:rPr>
          <w:rFonts w:ascii="TH Sarabun New" w:hAnsi="TH Sarabun New" w:cs="TH Sarabun New" w:eastAsia="TH Sarabun New"/>
          <w:b w:val="0"/>
          <w:i w:val="0"/>
          <w:sz w:val="32"/>
          <w:szCs w:val="32"/>
        </w:rPr>
        <w:t>คณะผู้จัดทำเลือกศึกษาหัวข้อ "แนวทางการบูรณาการระบบคมนาคมขนส่งเพื่อเมืองยุคใหม่ ผ่านกรอบ 4 เสาหลัก โดยใช้จังหวัดสมุทรปราการเป็นพื้นที่นำร่อง" ซึ่งเป็นข้อเสนอเชิงนโยบายที่มุ่งแก้ไขปัญหาการคมนาคมขนส่งในเขตเมืองของประเทศไทยอย่างเป็นระบบและบูรณาการข้ามหน่วยงาน โดยมีเหตุผลสำคัญในการเลือกหัวข้อ 3 ประการ ดังนี้</w:t>
      </w:r>
    </w:p>
    <w:p>
      <w:pPr>
        <w:spacing w:line="240" w:lineRule="auto" w:after="60"/>
        <w:ind w:left="850" w:hanging="454"/>
        <w:jc w:val="left"/>
      </w:pPr>
      <w:r>
        <w:rPr>
          <w:rFonts w:ascii="TH Sarabun New" w:hAnsi="TH Sarabun New" w:cs="TH Sarabun New" w:eastAsia="TH Sarabun New"/>
          <w:b/>
          <w:i w:val="0"/>
          <w:sz w:val="32"/>
          <w:szCs w:val="32"/>
        </w:rPr>
        <w:t xml:space="preserve">1)  </w:t>
      </w:r>
      <w:r>
        <w:rPr>
          <w:rFonts w:ascii="TH Sarabun New" w:hAnsi="TH Sarabun New" w:cs="TH Sarabun New" w:eastAsia="TH Sarabun New"/>
          <w:b w:val="0"/>
          <w:i w:val="0"/>
          <w:sz w:val="32"/>
          <w:szCs w:val="32"/>
        </w:rPr>
        <w:t>ความเชื่อมโยงเชิงระบบ — ปัญหาการคมนาคมในเขตเมืองของไทยเป็นปัญหาเชิงระบบที่ไม่สามารถแก้ไขได้โดยหน่วยงานใดหน่วยงานหนึ่ง จำเป็นต้องบูรณาการกระทรวงคมนาคม กระทรวงการคลัง องค์กรปกครองส่วนท้องถิ่น และภาคเอกชนในการขับเคลื่อนพร้อมกัน การแก้ปัญหาเฉพาะจุด เช่น การสร้างรถไฟฟ้าเพิ่มโดยไม่แก้ปัญหาการเชื่อมต่อและค่าโดยสาร จึงไม่อาจสร้างการเปลี่ยนแปลงเชิงพฤติกรรมที่ยั่งยืนได้</w:t>
      </w:r>
    </w:p>
    <w:p>
      <w:pPr>
        <w:spacing w:line="240" w:lineRule="auto" w:after="60"/>
        <w:ind w:left="850" w:hanging="454"/>
        <w:jc w:val="left"/>
      </w:pPr>
      <w:r>
        <w:rPr>
          <w:rFonts w:ascii="TH Sarabun New" w:hAnsi="TH Sarabun New" w:cs="TH Sarabun New" w:eastAsia="TH Sarabun New"/>
          <w:b/>
          <w:i w:val="0"/>
          <w:sz w:val="32"/>
          <w:szCs w:val="32"/>
        </w:rPr>
        <w:t xml:space="preserve">2)  </w:t>
      </w:r>
      <w:r>
        <w:rPr>
          <w:rFonts w:ascii="TH Sarabun New" w:hAnsi="TH Sarabun New" w:cs="TH Sarabun New" w:eastAsia="TH Sarabun New"/>
          <w:b w:val="0"/>
          <w:i w:val="0"/>
          <w:sz w:val="32"/>
          <w:szCs w:val="32"/>
        </w:rPr>
        <w:t>จังหวะเวลาที่เหมาะสม — พระราชบัญญัติการบริหารจัดการระบบตั๋วร่วม พ.ศ. 2568 ที่ประกาศในราชกิจจานุเบกษาเมื่อวันที่ 27 ธันวาคม 2568 เป็นกรอบกฎหมายใหม่ที่เปิดโอกาสให้เกิดการบูรณาการระบบตั๋วร่วมแบบครบวงจรเป็นครั้งแรกในประวัติศาสตร์ของไทย ประกอบกับนโยบายการเปลี่ยนผ่านสู่ยานยนต์ไฟฟ้า (30@30) และเป้าหมายความเป็นกลางทางคาร์บอน ทำให้ช่วงเวลานี้เป็นโอกาสทองในการปฏิรูประบบขนส่งสาธารณะ</w:t>
      </w:r>
    </w:p>
    <w:p>
      <w:pPr>
        <w:spacing w:line="240" w:lineRule="auto" w:after="60"/>
        <w:ind w:left="850" w:hanging="454"/>
        <w:jc w:val="left"/>
      </w:pPr>
      <w:r>
        <w:rPr>
          <w:rFonts w:ascii="TH Sarabun New" w:hAnsi="TH Sarabun New" w:cs="TH Sarabun New" w:eastAsia="TH Sarabun New"/>
          <w:b/>
          <w:i w:val="0"/>
          <w:sz w:val="32"/>
          <w:szCs w:val="32"/>
        </w:rPr>
        <w:t xml:space="preserve">3)  </w:t>
      </w:r>
      <w:r>
        <w:rPr>
          <w:rFonts w:ascii="TH Sarabun New" w:hAnsi="TH Sarabun New" w:cs="TH Sarabun New" w:eastAsia="TH Sarabun New"/>
          <w:b w:val="0"/>
          <w:i w:val="0"/>
          <w:sz w:val="32"/>
          <w:szCs w:val="32"/>
        </w:rPr>
        <w:t>ความท้าทายและคุณค่าต่อประชาชน — หัวข้อนี้ส่งผลกระทบโดยตรงต่อคุณภาพชีวิตของประชาชนผู้ใช้ระบบขนส่ง ทั้งด้านเวลาเดินทาง ค่าใช้จ่าย สุขภาพจากมลพิษ และความปลอดภัย อันสอดคล้องกับพันธกิจของกระทรวงคมนาคมในการ "ยกระดับคุณภาพชีวิตของประชาชนด้วยระบบคมนาคมที่ปลอดภัย สะดวก และยั่งยืน"</w:t>
      </w:r>
    </w:p>
    <w:p>
      <w:pPr>
        <w:spacing w:line="240" w:lineRule="auto" w:after="0"/>
        <w:ind w:firstLine="720"/>
        <w:jc w:val="left"/>
      </w:pPr>
      <w:r>
        <w:rPr>
          <w:rFonts w:ascii="TH Sarabun New" w:hAnsi="TH Sarabun New" w:cs="TH Sarabun New" w:eastAsia="TH Sarabun New"/>
          <w:b w:val="0"/>
          <w:i w:val="0"/>
          <w:sz w:val="32"/>
          <w:szCs w:val="32"/>
        </w:rPr>
        <w:t>ทั้งนี้ หัวข้อดังกล่าวสะท้อนบทบาทของผู้บริหารระดับสูงในกระทรวงคมนาคม โดยเฉพาะการกำหนดทิศทางนโยบายและการบูรณาการระบบขนส่งสาธารณะระหว่างหน่วยงาน ทั้งสำนักงานนโยบายและแผนการขนส่งและจราจร (สนข.) การรถไฟฟ้าขนส่งมวลชนแห่งประเทศไทย (รฟม.) การรถไฟแห่งประเทศไทย (รฟท.) องค์การขนส่งมวลชนกรุงเทพ (ขสมก.) กรมการขนส่งทางบก กรมเจ้าท่า กรมการขนส่งทางราง ตลอดจนผู้ให้บริการภาคเอกชน รวมทั้งการขับเคลื่อนพระราชบัญญัติการบริหารจัดการระบบตั๋วร่วม พ.ศ. 2568 ไปสู่การปฏิบัติอย่างเป็นรูปธรรม</w:t>
      </w:r>
    </w:p>
    <w:p>
      <w:pPr>
        <w:keepNext/>
        <w:spacing w:before="200" w:after="80" w:line="240" w:lineRule="auto"/>
      </w:pPr>
      <w:r>
        <w:rPr>
          <w:rFonts w:ascii="TH Sarabun New" w:hAnsi="TH Sarabun New" w:cs="TH Sarabun New" w:eastAsia="TH Sarabun New"/>
          <w:b/>
          <w:i w:val="0"/>
          <w:color w:val="1F3D6E"/>
          <w:sz w:val="32"/>
          <w:szCs w:val="32"/>
        </w:rPr>
        <w:t>1.2 สภาพปัญหาการคมนาคมขนส่งในเขตเมืองจากอดีตถึงปัจจุบัน (ย้อนหลังอย่างน้อย 10 ปี)</w:t>
      </w:r>
    </w:p>
    <w:p>
      <w:pPr>
        <w:spacing w:line="240" w:lineRule="auto" w:after="0"/>
        <w:ind w:firstLine="720"/>
        <w:jc w:val="left"/>
      </w:pPr>
      <w:r>
        <w:rPr>
          <w:rFonts w:ascii="TH Sarabun New" w:hAnsi="TH Sarabun New" w:cs="TH Sarabun New" w:eastAsia="TH Sarabun New"/>
          <w:b w:val="0"/>
          <w:i w:val="0"/>
          <w:sz w:val="32"/>
          <w:szCs w:val="32"/>
        </w:rPr>
        <w:t>ตลอดระยะ 10 ปีที่ผ่านมา (พ.ศ. 2559-2568) ปัญหาการคมนาคมขนส่งในเขตเมืองของประเทศไทย โดยเฉพาะกรุงเทพมหานครและปริมณฑล รวมถึงจังหวัดสมุทรปราการ เป็นปัญหาเชิงระบบที่ส่งผลกระทบต่อประชาชนในวงกว้างและทวีความรุนแรงขึ้นอย่างต่อเนื่อง แม้ภาครัฐจะลงทุนขยายโครงข่ายรถไฟฟ้าอย่างมากในช่วงทศวรรษที่ผ่านมา แต่สัดส่วนการเดินทางด้วยระบบขนส่งสาธารณะกลับยังอยู่ในระดับต่ำ สะท้อนว่าการลงทุนโครงสร้างพื้นฐานเพียงอย่างเดียวไม่เพียงพอ สภาพปัญหาสำคัญสรุปได้ 6 ประการ ดังนี้</w:t>
      </w:r>
      <w:r>
        <w:rPr>
          <w:rFonts w:ascii="TH Sarabun New" w:hAnsi="TH Sarabun New" w:cs="TH Sarabun New" w:eastAsia="TH Sarabun New"/>
          <w:b w:val="0"/>
          <w:i w:val="0"/>
          <w:sz w:val="32"/>
          <w:szCs w:val="32"/>
        </w:rPr>
        <w:t xml:space="preserve"> (สำนักงานนโยบายและแผนการขนส่งและจราจร, 2566; กรมการขนส่งทางราง, 2566)</w:t>
      </w:r>
    </w:p>
    <w:p>
      <w:pPr>
        <w:spacing w:line="240" w:lineRule="auto" w:after="60"/>
        <w:ind w:left="850" w:hanging="454"/>
        <w:jc w:val="left"/>
      </w:pPr>
      <w:r>
        <w:rPr>
          <w:rFonts w:ascii="TH Sarabun New" w:hAnsi="TH Sarabun New" w:cs="TH Sarabun New" w:eastAsia="TH Sarabun New"/>
          <w:b/>
          <w:i w:val="0"/>
          <w:sz w:val="32"/>
          <w:szCs w:val="32"/>
        </w:rPr>
        <w:t xml:space="preserve">1)  </w:t>
      </w:r>
      <w:r>
        <w:rPr>
          <w:rFonts w:ascii="TH Sarabun New" w:hAnsi="TH Sarabun New" w:cs="TH Sarabun New" w:eastAsia="TH Sarabun New"/>
          <w:b w:val="0"/>
          <w:i w:val="0"/>
          <w:sz w:val="32"/>
          <w:szCs w:val="32"/>
        </w:rPr>
        <w:t>ปัญหาการจราจรติดขัด — กรุงเทพมหานครติดอันดับเมืองที่มีการจราจรหนาแน่นที่สุดของโลกอย่างต่อเนื่องตามรายงาน TomTom Traffic Index โดยค่าเฉลี่ยเวลาเดินทางสูงกว่ามาตรฐานในประเทศพัฒนาแล้ว 1.5-2 เท่า ผู้เดินทางต้องสูญเสียเวลาบนท้องถนนเฉลี่ยมากกว่า 60-70 ชั่วโมงต่อปี ก่อให้เกิดการสูญเสียทางเศรษฐกิจจากความล่าช้าและการสิ้นเปลืองเชื้อเพลิงประมาณ 250,000 ล้านบาทต่อปี (ธนาคารโลก, 2566) ปัญหานี้มีแนวโน้มรุนแรงขึ้นตามการเพิ่มขึ้นของจำนวนรถยนต์จดทะเบียนที่เติบโตเฉลี่ยปีละกว่าร้อยละ 4-5</w:t>
      </w:r>
      <w:r>
        <w:rPr>
          <w:rFonts w:ascii="TH Sarabun New" w:hAnsi="TH Sarabun New" w:cs="TH Sarabun New" w:eastAsia="TH Sarabun New"/>
          <w:b w:val="0"/>
          <w:i w:val="0"/>
          <w:sz w:val="32"/>
          <w:szCs w:val="32"/>
        </w:rPr>
        <w:t xml:space="preserve"> (TomTom, 2023)</w:t>
      </w:r>
    </w:p>
    <w:p>
      <w:pPr>
        <w:spacing w:line="240" w:lineRule="auto" w:after="60"/>
        <w:ind w:left="850" w:hanging="454"/>
        <w:jc w:val="left"/>
      </w:pPr>
      <w:r>
        <w:rPr>
          <w:rFonts w:ascii="TH Sarabun New" w:hAnsi="TH Sarabun New" w:cs="TH Sarabun New" w:eastAsia="TH Sarabun New"/>
          <w:b/>
          <w:i w:val="0"/>
          <w:sz w:val="32"/>
          <w:szCs w:val="32"/>
        </w:rPr>
        <w:t xml:space="preserve">2)  </w:t>
      </w:r>
      <w:r>
        <w:rPr>
          <w:rFonts w:ascii="TH Sarabun New" w:hAnsi="TH Sarabun New" w:cs="TH Sarabun New" w:eastAsia="TH Sarabun New"/>
          <w:b w:val="0"/>
          <w:i w:val="0"/>
          <w:sz w:val="32"/>
          <w:szCs w:val="32"/>
        </w:rPr>
        <w:t>ปัญหามลพิษทางอากาศ — ค่าฝุ่นละอองขนาดเล็ก PM2.5 ในเขตเมืองและพื้นที่อุตสาหกรรม เช่น จังหวัดสมุทรปราการที่มีนิคมอุตสาหกรรมบางปูและบางพลี เกินค่ามาตรฐานมากกว่า 60 วันต่อปี (กรมควบคุมมลพิษ, 2566) โดยภาคการขนส่งทางถนนเป็นแหล่งกำเนิด PM2.5 หลักของเขตเมือง คิดเป็นสัดส่วนสูงในช่วงที่มีการจราจรหนาแน่น ส่งผลกระทบต่อสุขภาพประชาชนและเพิ่มภาระค่าใช้จ่ายด้านสาธารณสุขของประเทศ</w:t>
      </w:r>
    </w:p>
    <w:p>
      <w:pPr>
        <w:spacing w:line="240" w:lineRule="auto" w:after="60"/>
        <w:ind w:left="850" w:hanging="454"/>
        <w:jc w:val="left"/>
      </w:pPr>
      <w:r>
        <w:rPr>
          <w:rFonts w:ascii="TH Sarabun New" w:hAnsi="TH Sarabun New" w:cs="TH Sarabun New" w:eastAsia="TH Sarabun New"/>
          <w:b/>
          <w:i w:val="0"/>
          <w:sz w:val="32"/>
          <w:szCs w:val="32"/>
        </w:rPr>
        <w:t xml:space="preserve">3)  </w:t>
      </w:r>
      <w:r>
        <w:rPr>
          <w:rFonts w:ascii="TH Sarabun New" w:hAnsi="TH Sarabun New" w:cs="TH Sarabun New" w:eastAsia="TH Sarabun New"/>
          <w:b w:val="0"/>
          <w:i w:val="0"/>
          <w:sz w:val="32"/>
          <w:szCs w:val="32"/>
        </w:rPr>
        <w:t>ปัญหาระบบตั๋วร่วมที่แยกส่วน — ระบบการชำระค่าโดยสารปัจจุบันมีหลายระบบที่ไม่บูรณาการ ได้แก่ บัตร Rabbit (BTS) บัตร MRT Plus (รฟม. และรถไฟฟ้าแอร์พอร์ตเรลลิงก์) และระบบ EMV Contactless ที่ทยอยเปิดใช้ ทำให้ผู้โดยสารต้องพกบัตรหลายใบ เติมเงินหลายระบบ และไม่ได้รับประโยชน์จากการคิดค่าโดยสารแบบรวมเพดาน (Fare Capping) เมื่อเปลี่ยนระบบต้องเสียค่าแรกเข้าซ้ำซ้อน เป็นอุปสรรคสำคัญต่อการเดินทางแบบไร้รอยต่อ</w:t>
      </w:r>
    </w:p>
    <w:p>
      <w:pPr>
        <w:spacing w:line="240" w:lineRule="auto" w:after="60"/>
        <w:ind w:left="850" w:hanging="454"/>
        <w:jc w:val="left"/>
      </w:pPr>
      <w:r>
        <w:rPr>
          <w:rFonts w:ascii="TH Sarabun New" w:hAnsi="TH Sarabun New" w:cs="TH Sarabun New" w:eastAsia="TH Sarabun New"/>
          <w:b/>
          <w:i w:val="0"/>
          <w:sz w:val="32"/>
          <w:szCs w:val="32"/>
        </w:rPr>
        <w:t xml:space="preserve">4)  </w:t>
      </w:r>
      <w:r>
        <w:rPr>
          <w:rFonts w:ascii="TH Sarabun New" w:hAnsi="TH Sarabun New" w:cs="TH Sarabun New" w:eastAsia="TH Sarabun New"/>
          <w:b w:val="0"/>
          <w:i w:val="0"/>
          <w:sz w:val="32"/>
          <w:szCs w:val="32"/>
        </w:rPr>
        <w:t>ปัญหาการเชื่อมต่อช่วงต้นทาง-ปลายทาง (First/Last Mile) — แม้เครือข่ายรถไฟฟ้าจะขยายตัวอย่างรวดเร็วจนมีระยะทางรวมหลายร้อยกิโลเมตร แต่การเชื่อมต่อจากบ้านสู่สถานีและจากสถานีสู่ที่ทำงานยังไม่สะดวก เนื่องจากขาดระบบขนส่งเสริม (Feeder) ที่ใช้พลังงานไฟฟ้า จุดจอดแล้วจร (Park &amp; Ride) ทางเท้าที่ปลอดภัย และวินจักรยานยนต์ที่บูรณาการอยู่ในระบบตั๋วร่วม ทำให้ประชาชนจำนวนมากยังเลือกใช้รถยนต์ส่วนบุคคลตลอดการเดินทาง</w:t>
      </w:r>
    </w:p>
    <w:p>
      <w:pPr>
        <w:spacing w:line="240" w:lineRule="auto" w:after="60"/>
        <w:ind w:left="850" w:hanging="454"/>
        <w:jc w:val="left"/>
      </w:pPr>
      <w:r>
        <w:rPr>
          <w:rFonts w:ascii="TH Sarabun New" w:hAnsi="TH Sarabun New" w:cs="TH Sarabun New" w:eastAsia="TH Sarabun New"/>
          <w:b/>
          <w:i w:val="0"/>
          <w:sz w:val="32"/>
          <w:szCs w:val="32"/>
        </w:rPr>
        <w:t xml:space="preserve">5)  </w:t>
      </w:r>
      <w:r>
        <w:rPr>
          <w:rFonts w:ascii="TH Sarabun New" w:hAnsi="TH Sarabun New" w:cs="TH Sarabun New" w:eastAsia="TH Sarabun New"/>
          <w:b w:val="0"/>
          <w:i w:val="0"/>
          <w:sz w:val="32"/>
          <w:szCs w:val="32"/>
        </w:rPr>
        <w:t>ปัญหามาตรการทางภาษีและเศรษฐศาสตร์ที่ไม่จูงใจ — ภาษีและต้นทุนการถือครองรถยนต์ส่วนบุคคลในประเทศไทยอยู่ในระดับต่ำเมื่อเทียบกับประเทศพัฒนาแล้ว ขณะที่ไม่มีกลไกลดหย่อนภาษีหรือเงินอุดหนุนสำหรับผู้ใช้ระบบขนส่งสาธารณะ ไม่มีการเก็บค่าผ่านทางในเขตเมืองชั้นใน (Congestion Charge) หรือค่าธรรมเนียมที่จอดรถในสถานประกอบการ ทำให้โครงสร้างแรงจูงใจยังเอื้อต่อการใช้รถยนต์ส่วนบุคคลมากกว่าระบบขนส่งสาธารณะ</w:t>
      </w:r>
    </w:p>
    <w:p>
      <w:pPr>
        <w:spacing w:line="240" w:lineRule="auto" w:after="60"/>
        <w:ind w:left="850" w:hanging="454"/>
        <w:jc w:val="left"/>
      </w:pPr>
      <w:r>
        <w:rPr>
          <w:rFonts w:ascii="TH Sarabun New" w:hAnsi="TH Sarabun New" w:cs="TH Sarabun New" w:eastAsia="TH Sarabun New"/>
          <w:b/>
          <w:i w:val="0"/>
          <w:sz w:val="32"/>
          <w:szCs w:val="32"/>
        </w:rPr>
        <w:t xml:space="preserve">6)  </w:t>
      </w:r>
      <w:r>
        <w:rPr>
          <w:rFonts w:ascii="TH Sarabun New" w:hAnsi="TH Sarabun New" w:cs="TH Sarabun New" w:eastAsia="TH Sarabun New"/>
          <w:b w:val="0"/>
          <w:i w:val="0"/>
          <w:sz w:val="32"/>
          <w:szCs w:val="32"/>
        </w:rPr>
        <w:t>ปัญหาความล้มเหลวของรูปแบบ MaaS ที่ให้เอกชนเป็นผู้นำ (Private-led) — กรณีบริษัท MaaS Global (แอป Whim) ที่กรุงเฮลซิงกิ ประเทศฟินแลนด์ ซึ่งเป็นต้นแบบ MaaS ระดับโลก ได้ยื่นล้มละลายเมื่อเดือนมีนาคม 2567 สะท้อนว่ารูปแบบที่ให้เอกชนเป็นผู้นำโดยลำพังมีความเสี่ยงทางธุรกิจสูง เนื่องจากไม่มีอำนาจควบคุมผู้ให้บริการขนส่งและโครงสร้างราคา จึงจำเป็นต้องใช้รูปแบบที่ภาครัฐเป็นผู้นำ (Public-led) ตามแบบ Berlin Jelbi และ Vienna WienMobil</w:t>
      </w:r>
    </w:p>
    <w:p>
      <w:pPr>
        <w:spacing w:line="240" w:lineRule="auto" w:after="0"/>
        <w:ind w:firstLine="720"/>
        <w:jc w:val="left"/>
      </w:pPr>
      <w:r>
        <w:rPr>
          <w:rFonts w:ascii="TH Sarabun New" w:hAnsi="TH Sarabun New" w:cs="TH Sarabun New" w:eastAsia="TH Sarabun New"/>
          <w:b w:val="0"/>
          <w:i w:val="0"/>
          <w:sz w:val="32"/>
          <w:szCs w:val="32"/>
        </w:rPr>
        <w:t>ผลกระทบของปัญหาข้างต้นครอบคลุมประชาชนผู้ใช้ทาง ผู้ใช้ระบบขนส่งสาธารณะ แรงงานในนิคมอุตสาหกรรมกว่า 100,000 คนในจังหวัดสมุทรปราการ ผู้ประกอบการ ตลอดจนภาคเศรษฐกิจโดยรวม โดยถนนสายหลัก เช่น ถนนสุขุมวิทช่วงปากน้ำ-สำโรง และถนนบางนา-ตราด มีปริมาณจราจรเฉลี่ยต่อวัน (AADT) มากกว่า 100,000-150,000 คันต่อวัน ความสูญเสียจึงครอบคลุมทั้งมิติเศรษฐกิจ (เวลาและเชื้อเพลิง) มิติสิ่งแวดล้อม (มลพิษและก๊าซเรือนกระจก) และมิติสังคม (สุขภาพ ความปลอดภัย และความเหลื่อมล้ำในการเข้าถึงโอกาส)</w:t>
      </w:r>
    </w:p>
    <w:p>
      <w:pPr>
        <w:spacing w:line="240" w:lineRule="auto" w:after="0"/>
        <w:ind w:firstLine="720"/>
        <w:jc w:val="left"/>
      </w:pPr>
      <w:r>
        <w:rPr>
          <w:rFonts w:ascii="TH Sarabun New" w:hAnsi="TH Sarabun New" w:cs="TH Sarabun New" w:eastAsia="TH Sarabun New"/>
          <w:b w:val="0"/>
          <w:i w:val="0"/>
          <w:sz w:val="32"/>
          <w:szCs w:val="32"/>
        </w:rPr>
        <w:t>ในมิติเศรษฐกิจ ความสูญเสียจากการจราจรติดขัดไม่ได้จำกัดเพียงเวลาและเชื้อเพลิงที่สิ้นเปลือง แต่ยังรวมถึงต้นทุนค่าเสียโอกาสทางธุรกิจ การลดทอนผลิตภาพแรงงานจากความเครียดและความเหนื่อยล้า และต้นทุนโลจิสติกส์ที่สูงขึ้นซึ่งกระทบต่อขีดความสามารถในการแข่งขันของประเทศ ในมิติสังคม ภาระค่าใช้จ่ายในการเดินทางที่สูงและการเข้าถึงระบบขนส่งที่ไม่เท่าเทียมกัน ยังซ้ำเติมความเหลื่อมล้ำ โดยเฉพาะกลุ่มผู้มีรายได้น้อยที่ต้องใช้เวลาและรายได้สัดส่วนสูงไปกับการเดินทาง</w:t>
      </w:r>
      <w:r>
        <w:rPr>
          <w:rFonts w:ascii="TH Sarabun New" w:hAnsi="TH Sarabun New" w:cs="TH Sarabun New" w:eastAsia="TH Sarabun New"/>
          <w:b w:val="0"/>
          <w:i w:val="0"/>
          <w:sz w:val="32"/>
          <w:szCs w:val="32"/>
        </w:rPr>
        <w:t xml:space="preserve"> (สถาบันวิจัยเพื่อการพัฒนาประเทศไทย [TDRI], 2565)</w:t>
      </w:r>
    </w:p>
    <w:p>
      <w:pPr>
        <w:spacing w:line="240" w:lineRule="auto" w:after="0"/>
        <w:ind w:firstLine="720"/>
        <w:jc w:val="left"/>
      </w:pPr>
      <w:r>
        <w:rPr>
          <w:rFonts w:ascii="TH Sarabun New" w:hAnsi="TH Sarabun New" w:cs="TH Sarabun New" w:eastAsia="TH Sarabun New"/>
          <w:b w:val="0"/>
          <w:i w:val="0"/>
          <w:sz w:val="32"/>
          <w:szCs w:val="32"/>
        </w:rPr>
        <w:t>ที่สำคัญ แม้ประเทศไทยจะลงทุนขยายโครงข่ายรถไฟฟ้าอย่างมากในทศวรรษที่ผ่านมา แต่สัดส่วนการเดินทางด้วยระบบขนส่งสาธารณะในเขตกรุงเทพมหานครและปริมณฑลยังอยู่ในระดับต่ำเมื่อเทียบกับมหานครชั้นนำของโลก ดังแสดงในภาพเปรียบเทียบ สะท้อนว่าการลงทุนโครงสร้างพื้นฐานเพียงอย่างเดียวไม่เพียงพอ หากขาดการบูรณาการด้านตั๋ว การเชื่อมต่อ และมาตรการจูงใจที่เหมาะสม</w:t>
      </w:r>
    </w:p>
    <w:p>
      <w:pPr>
        <w:keepNext/>
        <w:spacing w:before="160" w:after="40"/>
        <w:jc w:val="center"/>
      </w:pPr>
      <w:r>
        <w:drawing>
          <wp:inline xmlns:a="http://schemas.openxmlformats.org/drawingml/2006/main" xmlns:pic="http://schemas.openxmlformats.org/drawingml/2006/picture">
            <wp:extent cx="5220000" cy="2807650"/>
            <wp:docPr id="4" name="Picture 4"/>
            <wp:cNvGraphicFramePr>
              <a:graphicFrameLocks noChangeAspect="1"/>
            </wp:cNvGraphicFramePr>
            <a:graphic>
              <a:graphicData uri="http://schemas.openxmlformats.org/drawingml/2006/picture">
                <pic:pic>
                  <pic:nvPicPr>
                    <pic:cNvPr id="0" name="fig-modalshare.png"/>
                    <pic:cNvPicPr/>
                  </pic:nvPicPr>
                  <pic:blipFill>
                    <a:blip r:embed="rId14"/>
                    <a:stretch>
                      <a:fillRect/>
                    </a:stretch>
                  </pic:blipFill>
                  <pic:spPr>
                    <a:xfrm>
                      <a:off x="0" y="0"/>
                      <a:ext cx="5220000" cy="2807650"/>
                    </a:xfrm>
                    <a:prstGeom prst="rect"/>
                  </pic:spPr>
                </pic:pic>
              </a:graphicData>
            </a:graphic>
          </wp:inline>
        </w:drawing>
      </w:r>
    </w:p>
    <w:p>
      <w:pPr>
        <w:spacing w:after="160" w:line="240" w:lineRule="auto"/>
        <w:jc w:val="center"/>
      </w:pPr>
      <w:r>
        <w:rPr>
          <w:rFonts w:ascii="TH Sarabun New" w:hAnsi="TH Sarabun New" w:cs="TH Sarabun New" w:eastAsia="TH Sarabun New"/>
          <w:b/>
          <w:i w:val="0"/>
          <w:sz w:val="30"/>
          <w:szCs w:val="30"/>
        </w:rPr>
        <w:t>ภาพที่ 1  เปรียบเทียบสัดส่วนการเดินทางด้วยระบบขนส่งสาธารณะของเมืองต่าง ๆ</w:t>
      </w:r>
    </w:p>
    <w:p>
      <w:pPr>
        <w:keepNext/>
        <w:spacing w:before="200" w:after="80" w:line="240" w:lineRule="auto"/>
      </w:pPr>
      <w:r>
        <w:rPr>
          <w:rFonts w:ascii="TH Sarabun New" w:hAnsi="TH Sarabun New" w:cs="TH Sarabun New" w:eastAsia="TH Sarabun New"/>
          <w:b/>
          <w:i w:val="0"/>
          <w:color w:val="1F3D6E"/>
          <w:sz w:val="32"/>
          <w:szCs w:val="32"/>
        </w:rPr>
        <w:t>1.3 การทบทวนวรรณกรรมและกรณีศึกษาในต่างประเทศ</w:t>
      </w:r>
    </w:p>
    <w:p>
      <w:pPr>
        <w:spacing w:line="240" w:lineRule="auto" w:after="0"/>
        <w:ind w:firstLine="720"/>
        <w:jc w:val="left"/>
      </w:pPr>
      <w:r>
        <w:rPr>
          <w:rFonts w:ascii="TH Sarabun New" w:hAnsi="TH Sarabun New" w:cs="TH Sarabun New" w:eastAsia="TH Sarabun New"/>
          <w:b w:val="0"/>
          <w:i w:val="0"/>
          <w:sz w:val="32"/>
          <w:szCs w:val="32"/>
        </w:rPr>
        <w:t>แนวคิด Mobility-as-a-Service (MaaS) คือการบูรณาการบริการขนส่งหลากหลายรูปแบบเข้าไว้ในแพลตฟอร์มเดียว ให้ผู้ใช้สามารถวางแผน จอง และชำระค่าเดินทางได้แบบไร้รอยต่อ โดย Sochor และคณะ (2018) ได้จำแนกระดับการบูรณาการของ MaaS ออกเป็น 5 ระดับ (ระดับ 0-4) ตั้งแต่ระดับ 0 (ไม่มีการบูรณาการ) ระดับ 1 (บูรณาการข้อมูล) ระดับ 2 (บูรณาการการจองและชำระเงิน) ระดับ 3 (บูรณาการบริการแบบเหมาจ่าย/บัตรรายเดือน) จนถึงระดับ 4 (บูรณาการเชิงนโยบายและสังคม) ซึ่งประเทศไทยปัจจุบันยังอยู่เพียงระดับ 1 เท่านั้น</w:t>
      </w:r>
    </w:p>
    <w:p>
      <w:pPr>
        <w:spacing w:line="240" w:lineRule="auto" w:after="0"/>
        <w:ind w:firstLine="720"/>
        <w:jc w:val="left"/>
      </w:pPr>
      <w:r>
        <w:rPr>
          <w:rFonts w:ascii="TH Sarabun New" w:hAnsi="TH Sarabun New" w:cs="TH Sarabun New" w:eastAsia="TH Sarabun New"/>
          <w:b w:val="0"/>
          <w:i w:val="0"/>
          <w:sz w:val="32"/>
          <w:szCs w:val="32"/>
        </w:rPr>
        <w:t>การทบทวนกรณีศึกษาในต่างประเทศที่ประสบความสำเร็จและไม่ประสบความสำเร็จ ช่วยให้เห็นปัจจัยกำหนดความสำเร็จของการบูรณาการระบบขนส่ง สรุปได้ดังตาราง</w:t>
      </w:r>
      <w:r>
        <w:rPr>
          <w:rFonts w:ascii="TH Sarabun New" w:hAnsi="TH Sarabun New" w:cs="TH Sarabun New" w:eastAsia="TH Sarabun New"/>
          <w:b w:val="0"/>
          <w:i w:val="0"/>
          <w:sz w:val="32"/>
          <w:szCs w:val="32"/>
        </w:rPr>
        <w:t xml:space="preserve"> (Transport for London, 2023; Land Transport Authority of Singapore, 2022; Berliner Verkehrsbetriebe [BVG], 2023; Wiener Linien, 2023; Seoul Metropolitan Government, 2021)</w:t>
      </w:r>
    </w:p>
    <w:p>
      <w:pPr>
        <w:keepNext/>
        <w:spacing w:before="200" w:after="40" w:line="240" w:lineRule="auto"/>
        <w:jc w:val="center"/>
      </w:pPr>
      <w:r>
        <w:rPr>
          <w:rFonts w:ascii="TH Sarabun New" w:hAnsi="TH Sarabun New" w:cs="TH Sarabun New" w:eastAsia="TH Sarabun New"/>
          <w:b/>
          <w:i w:val="0"/>
          <w:sz w:val="30"/>
          <w:szCs w:val="30"/>
        </w:rPr>
        <w:t>ตารางที่ 1  เปรียบเทียบกรณีศึกษาการบูรณาการระบบขนส่งสาธารณะในต่างประเทศ</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1814"/>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เมือง/ระบบ</w:t>
            </w:r>
          </w:p>
        </w:tc>
        <w:tc>
          <w:tcPr>
            <w:tcW w:type="dxa" w:w="1587"/>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รูปแบบ</w:t>
            </w:r>
          </w:p>
        </w:tc>
        <w:tc>
          <w:tcPr>
            <w:tcW w:type="dxa" w:w="4819"/>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จุดเด่น/บทเรียน</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London (TfL)</w:t>
            </w:r>
          </w:p>
        </w:tc>
        <w:tc>
          <w:tcPr>
            <w:tcW w:type="dxa" w:w="1587"/>
            <w:vAlign w:val="top"/>
          </w:tcPr>
          <w:p>
            <w:pPr>
              <w:spacing w:after="0" w:line="240" w:lineRule="auto"/>
              <w:jc w:val="left"/>
            </w:pPr>
            <w:r/>
            <w:r>
              <w:rPr>
                <w:rFonts w:ascii="TH Sarabun New" w:hAnsi="TH Sarabun New" w:cs="TH Sarabun New" w:eastAsia="TH Sarabun New"/>
                <w:b w:val="0"/>
                <w:i w:val="0"/>
                <w:sz w:val="26"/>
                <w:szCs w:val="26"/>
              </w:rPr>
              <w:t>Public-led</w:t>
            </w:r>
          </w:p>
        </w:tc>
        <w:tc>
          <w:tcPr>
            <w:tcW w:type="dxa" w:w="4819"/>
            <w:vAlign w:val="top"/>
          </w:tcPr>
          <w:p>
            <w:pPr>
              <w:spacing w:after="0" w:line="240" w:lineRule="auto"/>
              <w:jc w:val="left"/>
            </w:pPr>
            <w:r/>
            <w:r>
              <w:rPr>
                <w:rFonts w:ascii="TH Sarabun New" w:hAnsi="TH Sarabun New" w:cs="TH Sarabun New" w:eastAsia="TH Sarabun New"/>
                <w:b w:val="0"/>
                <w:i w:val="0"/>
                <w:sz w:val="26"/>
                <w:szCs w:val="26"/>
              </w:rPr>
              <w:t>หน่วยงานเดียวคุมทั้งตั๋ว-รถ-ถนน · EMV open-loop · trips ผ่าน contactless ≥ 80%</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Berlin (Jelbi/BVG)</w:t>
            </w:r>
          </w:p>
        </w:tc>
        <w:tc>
          <w:tcPr>
            <w:tcW w:type="dxa" w:w="1587"/>
            <w:vAlign w:val="top"/>
          </w:tcPr>
          <w:p>
            <w:pPr>
              <w:spacing w:after="0" w:line="240" w:lineRule="auto"/>
              <w:jc w:val="left"/>
            </w:pPr>
            <w:r/>
            <w:r>
              <w:rPr>
                <w:rFonts w:ascii="TH Sarabun New" w:hAnsi="TH Sarabun New" w:cs="TH Sarabun New" w:eastAsia="TH Sarabun New"/>
                <w:b w:val="0"/>
                <w:i w:val="0"/>
                <w:sz w:val="26"/>
                <w:szCs w:val="26"/>
              </w:rPr>
              <w:t>Public-led</w:t>
            </w:r>
          </w:p>
        </w:tc>
        <w:tc>
          <w:tcPr>
            <w:tcW w:type="dxa" w:w="4819"/>
            <w:vAlign w:val="top"/>
          </w:tcPr>
          <w:p>
            <w:pPr>
              <w:spacing w:after="0" w:line="240" w:lineRule="auto"/>
              <w:jc w:val="left"/>
            </w:pPr>
            <w:r/>
            <w:r>
              <w:rPr>
                <w:rFonts w:ascii="TH Sarabun New" w:hAnsi="TH Sarabun New" w:cs="TH Sarabun New" w:eastAsia="TH Sarabun New"/>
                <w:b w:val="0"/>
                <w:i w:val="0"/>
                <w:sz w:val="26"/>
                <w:szCs w:val="26"/>
              </w:rPr>
              <w:t>รัฐวิสาหกิจขนส่งเป็นเจ้าของแพลตฟอร์ม MaaS · รวมทุกโหมดในแอปเดียว</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Vienna (WienMobil)</w:t>
            </w:r>
          </w:p>
        </w:tc>
        <w:tc>
          <w:tcPr>
            <w:tcW w:type="dxa" w:w="1587"/>
            <w:vAlign w:val="top"/>
          </w:tcPr>
          <w:p>
            <w:pPr>
              <w:spacing w:after="0" w:line="240" w:lineRule="auto"/>
              <w:jc w:val="left"/>
            </w:pPr>
            <w:r/>
            <w:r>
              <w:rPr>
                <w:rFonts w:ascii="TH Sarabun New" w:hAnsi="TH Sarabun New" w:cs="TH Sarabun New" w:eastAsia="TH Sarabun New"/>
                <w:b w:val="0"/>
                <w:i w:val="0"/>
                <w:sz w:val="26"/>
                <w:szCs w:val="26"/>
              </w:rPr>
              <w:t>Public-led</w:t>
            </w:r>
          </w:p>
        </w:tc>
        <w:tc>
          <w:tcPr>
            <w:tcW w:type="dxa" w:w="4819"/>
            <w:vAlign w:val="top"/>
          </w:tcPr>
          <w:p>
            <w:pPr>
              <w:spacing w:after="0" w:line="240" w:lineRule="auto"/>
              <w:jc w:val="left"/>
            </w:pPr>
            <w:r/>
            <w:r>
              <w:rPr>
                <w:rFonts w:ascii="TH Sarabun New" w:hAnsi="TH Sarabun New" w:cs="TH Sarabun New" w:eastAsia="TH Sarabun New"/>
                <w:b w:val="0"/>
                <w:i w:val="0"/>
                <w:sz w:val="26"/>
                <w:szCs w:val="26"/>
              </w:rPr>
              <w:t>เทศบาลเป็นผู้นำ · เน้นบัตรรายปีราคาประหยัด (365 ยูโร/ปี) เพิ่มผู้ใช้</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Helsinki (Whim)</w:t>
            </w:r>
          </w:p>
        </w:tc>
        <w:tc>
          <w:tcPr>
            <w:tcW w:type="dxa" w:w="1587"/>
            <w:vAlign w:val="top"/>
          </w:tcPr>
          <w:p>
            <w:pPr>
              <w:spacing w:after="0" w:line="240" w:lineRule="auto"/>
              <w:jc w:val="left"/>
            </w:pPr>
            <w:r/>
            <w:r>
              <w:rPr>
                <w:rFonts w:ascii="TH Sarabun New" w:hAnsi="TH Sarabun New" w:cs="TH Sarabun New" w:eastAsia="TH Sarabun New"/>
                <w:b w:val="0"/>
                <w:i w:val="0"/>
                <w:sz w:val="26"/>
                <w:szCs w:val="26"/>
              </w:rPr>
              <w:t>Private-led</w:t>
            </w:r>
          </w:p>
        </w:tc>
        <w:tc>
          <w:tcPr>
            <w:tcW w:type="dxa" w:w="4819"/>
            <w:vAlign w:val="top"/>
          </w:tcPr>
          <w:p>
            <w:pPr>
              <w:spacing w:after="0" w:line="240" w:lineRule="auto"/>
              <w:jc w:val="left"/>
            </w:pPr>
            <w:r/>
            <w:r>
              <w:rPr>
                <w:rFonts w:ascii="TH Sarabun New" w:hAnsi="TH Sarabun New" w:cs="TH Sarabun New" w:eastAsia="TH Sarabun New"/>
                <w:b w:val="0"/>
                <w:i w:val="0"/>
                <w:sz w:val="26"/>
                <w:szCs w:val="26"/>
              </w:rPr>
              <w:t>ต้นแบบ MaaS โลก แต่ล้มละลาย 2567 · บทเรียน: เอกชนนำลำพังเสี่ยงสูง</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Singapore</w:t>
            </w:r>
          </w:p>
        </w:tc>
        <w:tc>
          <w:tcPr>
            <w:tcW w:type="dxa" w:w="1587"/>
            <w:vAlign w:val="top"/>
          </w:tcPr>
          <w:p>
            <w:pPr>
              <w:spacing w:after="0" w:line="240" w:lineRule="auto"/>
              <w:jc w:val="left"/>
            </w:pPr>
            <w:r/>
            <w:r>
              <w:rPr>
                <w:rFonts w:ascii="TH Sarabun New" w:hAnsi="TH Sarabun New" w:cs="TH Sarabun New" w:eastAsia="TH Sarabun New"/>
                <w:b w:val="0"/>
                <w:i w:val="0"/>
                <w:sz w:val="26"/>
                <w:szCs w:val="26"/>
              </w:rPr>
              <w:t>Public-led</w:t>
            </w:r>
          </w:p>
        </w:tc>
        <w:tc>
          <w:tcPr>
            <w:tcW w:type="dxa" w:w="4819"/>
            <w:vAlign w:val="top"/>
          </w:tcPr>
          <w:p>
            <w:pPr>
              <w:spacing w:after="0" w:line="240" w:lineRule="auto"/>
              <w:jc w:val="left"/>
            </w:pPr>
            <w:r/>
            <w:r>
              <w:rPr>
                <w:rFonts w:ascii="TH Sarabun New" w:hAnsi="TH Sarabun New" w:cs="TH Sarabun New" w:eastAsia="TH Sarabun New"/>
                <w:b w:val="0"/>
                <w:i w:val="0"/>
                <w:sz w:val="26"/>
                <w:szCs w:val="26"/>
              </w:rPr>
              <w:t>มาตรการเศรษฐศาสตร์เข้ม (ERP, COE) จำกัดรถส่วนตัว + ขนส่งสาธารณะคุณภาพสูง</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บทเรียนสำคัญจากกรณีศึกษาคือ เมืองที่ประสบความสำเร็จล้วนใช้รูปแบบที่ภาครัฐเป็นผู้นำ มีหน่วยงานเดียวที่ควบคุมทั้งระบบตั๋ว บริการขนส่ง โครงสร้างพื้นฐาน และมาตรการเศรษฐศาสตร์ ภายใต้กรอบกฎหมายที่ชัดเจน ในขณะที่รูปแบบที่ให้เอกชนเป็นผู้นำโดยลำพังมีความเสี่ยงสูง ดังบทเรียนของ Whim Helsinki</w:t>
      </w:r>
    </w:p>
    <w:p>
      <w:pPr>
        <w:spacing w:line="240" w:lineRule="auto" w:after="0"/>
        <w:ind w:firstLine="720"/>
        <w:jc w:val="left"/>
      </w:pPr>
      <w:r>
        <w:rPr>
          <w:rFonts w:ascii="TH Sarabun New" w:hAnsi="TH Sarabun New" w:cs="TH Sarabun New" w:eastAsia="TH Sarabun New"/>
          <w:b w:val="0"/>
          <w:i w:val="0"/>
          <w:sz w:val="32"/>
          <w:szCs w:val="32"/>
        </w:rPr>
        <w:t>แนวคิด MaaS มีพัฒนาการมาตั้งแต่ราวปี ค.ศ. 2014 โดย Hietanen (2014) ที่เสนอแนวคิด "การขนส่งในฐานะบริการ" เพื่อทดแทนการเป็นเจ้าของรถยนต์ส่วนบุคคล ต่อมามีการศึกษาจำนวนมากที่ชี้ว่าความสำเร็จของ MaaS ขึ้นอยู่กับปัจจัยเชิงสถาบันและการกำกับดูแล (Governance) มากกว่าปัจจัยทางเทคโนโลยี โดย Mukhtar-Landgren และ Smith (2019) ชี้ว่าบทบาทของภาครัฐในฐานะผู้กำหนดกติกาและผู้อำนวยความสะดวกเป็นเงื่อนไขสำคัญ ขณะที่ Pangbourne และคณะ (2020) ตั้งข้อสังเกตว่า MaaS ที่ขับเคลื่อนด้วยตรรกะเชิงพาณิชย์เพียงอย่างเดียวอาจไม่บรรลุเป้าหมายเชิงสาธารณะ เช่น การลดคาร์บอนและความเท่าเทียม</w:t>
      </w:r>
    </w:p>
    <w:p>
      <w:pPr>
        <w:spacing w:line="240" w:lineRule="auto" w:after="0"/>
        <w:ind w:firstLine="720"/>
        <w:jc w:val="left"/>
      </w:pPr>
      <w:r>
        <w:rPr>
          <w:rFonts w:ascii="TH Sarabun New" w:hAnsi="TH Sarabun New" w:cs="TH Sarabun New" w:eastAsia="TH Sarabun New"/>
          <w:b w:val="0"/>
          <w:i w:val="0"/>
          <w:sz w:val="32"/>
          <w:szCs w:val="32"/>
        </w:rPr>
        <w:t>งานศึกษาเหล่านี้สอดคล้องกับข้อค้นพบเชิงประจักษ์จากกรณีศึกษาข้างต้น และเป็นรากฐานทางทฤษฎีที่สนับสนุนข้อเสนอของคณะผู้จัดทำที่ให้ภาครัฐเป็นผู้นำการบูรณาการ (Public-led) โดยกำหนดเป้าหมายเชิงสาธารณะเป็นตัวตั้ง และเปิดให้ภาคเอกชนมีส่วนร่วมในฐานะผู้ให้บริการและผู้พัฒนานวัตกรรมภายใต้กรอบกติกาที่ภาครัฐกำหนด ซึ่งเป็นการผสานจุดแข็งของทั้งสองภาคส่วน</w:t>
      </w:r>
    </w:p>
    <w:p>
      <w:pPr>
        <w:keepNext/>
        <w:spacing w:before="200" w:after="80" w:line="240" w:lineRule="auto"/>
      </w:pPr>
      <w:r>
        <w:rPr>
          <w:rFonts w:ascii="TH Sarabun New" w:hAnsi="TH Sarabun New" w:cs="TH Sarabun New" w:eastAsia="TH Sarabun New"/>
          <w:b/>
          <w:i w:val="0"/>
          <w:color w:val="1F3D6E"/>
          <w:sz w:val="32"/>
          <w:szCs w:val="32"/>
        </w:rPr>
        <w:t>1.4 ความพยายามของภาครัฐไทยที่ผ่านมาและปัจจัยความสำเร็จ/ไม่สำเร็จ</w:t>
      </w:r>
    </w:p>
    <w:p>
      <w:pPr>
        <w:spacing w:line="240" w:lineRule="auto" w:after="0"/>
        <w:ind w:firstLine="720"/>
        <w:jc w:val="left"/>
      </w:pPr>
      <w:r>
        <w:rPr>
          <w:rFonts w:ascii="TH Sarabun New" w:hAnsi="TH Sarabun New" w:cs="TH Sarabun New" w:eastAsia="TH Sarabun New"/>
          <w:b w:val="0"/>
          <w:i w:val="0"/>
          <w:sz w:val="32"/>
          <w:szCs w:val="32"/>
        </w:rPr>
        <w:t>ที่ผ่านมา ภาครัฐไทยได้พยายามแก้ไขปัญหาการบูรณาการระบบขนส่งหลายครั้ง แต่ยังไม่ประสบความสำเร็จเชิงระบบ ตัวอย่างสำคัญคือโครงการบัตรโดยสารร่วม "บัตรแมงมุม" ที่ริเริ่มมากว่า 10 ปี แต่ไม่สามารถผลักดันให้ผู้ให้บริการทุกรายเข้าร่วมได้ เนื่องจากขาดกฎหมายบังคับและกลไกประมวลผลรายได้ที่เป็นกลางระหว่างผู้ให้บริการ ต่อมาแม้จะมีการทยอยเปิดใช้ระบบ EMV Contactless ในรถไฟฟ้าบางสาย ซึ่งช่วยลดอุปสรรคด้านเทคโนโลยีและเปิดให้ใช้บัตรเครดิต/เดบิตแตะจ่ายได้ แต่ยังขาดการคิดค่าโดยสารแบบรวมเพดานข้ามระบบและการบูรณาการเชิงนโยบาย</w:t>
      </w:r>
    </w:p>
    <w:p>
      <w:pPr>
        <w:spacing w:line="240" w:lineRule="auto" w:after="0"/>
        <w:ind w:firstLine="720"/>
        <w:jc w:val="left"/>
      </w:pPr>
      <w:r>
        <w:rPr>
          <w:rFonts w:ascii="TH Sarabun New" w:hAnsi="TH Sarabun New" w:cs="TH Sarabun New" w:eastAsia="TH Sarabun New"/>
          <w:b w:val="0"/>
          <w:i w:val="0"/>
          <w:sz w:val="32"/>
          <w:szCs w:val="32"/>
        </w:rPr>
        <w:t>จากการวิเคราะห์ คณะผู้จัดทำสรุปปัจจัยแห่งความไม่สำเร็จที่ผ่านมาได้ดังนี้</w:t>
      </w:r>
    </w:p>
    <w:p>
      <w:pPr>
        <w:spacing w:line="240" w:lineRule="auto" w:after="60"/>
        <w:ind w:left="850" w:hanging="454"/>
        <w:jc w:val="left"/>
      </w:pPr>
      <w:r>
        <w:rPr>
          <w:rFonts w:ascii="TH Sarabun New" w:hAnsi="TH Sarabun New" w:cs="TH Sarabun New" w:eastAsia="TH Sarabun New"/>
          <w:b/>
          <w:i w:val="0"/>
          <w:sz w:val="32"/>
          <w:szCs w:val="32"/>
        </w:rPr>
        <w:t xml:space="preserve">1)  </w:t>
      </w:r>
      <w:r>
        <w:rPr>
          <w:rFonts w:ascii="TH Sarabun New" w:hAnsi="TH Sarabun New" w:cs="TH Sarabun New" w:eastAsia="TH Sarabun New"/>
          <w:b w:val="0"/>
          <w:i w:val="0"/>
          <w:sz w:val="32"/>
          <w:szCs w:val="32"/>
        </w:rPr>
        <w:t>การขาดกรอบกฎหมายที่บังคับให้ผู้ให้บริการทุกรายเข้าสู่ระบบกลาง ทำให้การเจรจาขึ้นอยู่กับความสมัครใจและผลประโยชน์ของแต่ละราย</w:t>
      </w:r>
    </w:p>
    <w:p>
      <w:pPr>
        <w:spacing w:line="240" w:lineRule="auto" w:after="60"/>
        <w:ind w:left="850" w:hanging="454"/>
        <w:jc w:val="left"/>
      </w:pPr>
      <w:r>
        <w:rPr>
          <w:rFonts w:ascii="TH Sarabun New" w:hAnsi="TH Sarabun New" w:cs="TH Sarabun New" w:eastAsia="TH Sarabun New"/>
          <w:b/>
          <w:i w:val="0"/>
          <w:sz w:val="32"/>
          <w:szCs w:val="32"/>
        </w:rPr>
        <w:t xml:space="preserve">2)  </w:t>
      </w:r>
      <w:r>
        <w:rPr>
          <w:rFonts w:ascii="TH Sarabun New" w:hAnsi="TH Sarabun New" w:cs="TH Sarabun New" w:eastAsia="TH Sarabun New"/>
          <w:b w:val="0"/>
          <w:i w:val="0"/>
          <w:sz w:val="32"/>
          <w:szCs w:val="32"/>
        </w:rPr>
        <w:t>การขาดหน่วยงานกลางที่เป็นกลางในการประมวลผลและจัดสรรรายได้ระหว่างผู้ให้บริการ (Clearing House) ทำให้เกิดความไม่ไว้วางใจเรื่องการแบ่งรายได้</w:t>
      </w:r>
    </w:p>
    <w:p>
      <w:pPr>
        <w:spacing w:line="240" w:lineRule="auto" w:after="60"/>
        <w:ind w:left="850" w:hanging="454"/>
        <w:jc w:val="left"/>
      </w:pPr>
      <w:r>
        <w:rPr>
          <w:rFonts w:ascii="TH Sarabun New" w:hAnsi="TH Sarabun New" w:cs="TH Sarabun New" w:eastAsia="TH Sarabun New"/>
          <w:b/>
          <w:i w:val="0"/>
          <w:sz w:val="32"/>
          <w:szCs w:val="32"/>
        </w:rPr>
        <w:t xml:space="preserve">3)  </w:t>
      </w:r>
      <w:r>
        <w:rPr>
          <w:rFonts w:ascii="TH Sarabun New" w:hAnsi="TH Sarabun New" w:cs="TH Sarabun New" w:eastAsia="TH Sarabun New"/>
          <w:b w:val="0"/>
          <w:i w:val="0"/>
          <w:sz w:val="32"/>
          <w:szCs w:val="32"/>
        </w:rPr>
        <w:t>การดำเนินการแบบแยกส่วน มุ่งแก้เฉพาะด้านตั๋วหรือด้านแอปพลิเคชัน โดยไม่บูรณาการกับโครงสร้างพื้นฐานการเดินทางและมาตรการจูงใจทางเศรษฐศาสตร์ไปพร้อมกัน</w:t>
      </w:r>
    </w:p>
    <w:p>
      <w:pPr>
        <w:spacing w:line="240" w:lineRule="auto" w:after="60"/>
        <w:ind w:left="850" w:hanging="454"/>
        <w:jc w:val="left"/>
      </w:pPr>
      <w:r>
        <w:rPr>
          <w:rFonts w:ascii="TH Sarabun New" w:hAnsi="TH Sarabun New" w:cs="TH Sarabun New" w:eastAsia="TH Sarabun New"/>
          <w:b/>
          <w:i w:val="0"/>
          <w:sz w:val="32"/>
          <w:szCs w:val="32"/>
        </w:rPr>
        <w:t xml:space="preserve">4)  </w:t>
      </w:r>
      <w:r>
        <w:rPr>
          <w:rFonts w:ascii="TH Sarabun New" w:hAnsi="TH Sarabun New" w:cs="TH Sarabun New" w:eastAsia="TH Sarabun New"/>
          <w:b w:val="0"/>
          <w:i w:val="0"/>
          <w:sz w:val="32"/>
          <w:szCs w:val="32"/>
        </w:rPr>
        <w:t>ความไม่ต่อเนื่องเชิงนโยบายเมื่อมีการเปลี่ยนผู้บริหารหรือรัฐบาล ทำให้โครงการขาดความต่อเนื่องและงบประมาณสนับสนุน</w:t>
      </w:r>
    </w:p>
    <w:p>
      <w:pPr>
        <w:spacing w:line="240" w:lineRule="auto" w:after="0"/>
        <w:ind w:firstLine="720"/>
        <w:jc w:val="left"/>
      </w:pPr>
      <w:r>
        <w:rPr>
          <w:rFonts w:ascii="TH Sarabun New" w:hAnsi="TH Sarabun New" w:cs="TH Sarabun New" w:eastAsia="TH Sarabun New"/>
          <w:b w:val="0"/>
          <w:i w:val="0"/>
          <w:sz w:val="32"/>
          <w:szCs w:val="32"/>
        </w:rPr>
        <w:t>ในทางกลับกัน กรณีศึกษาที่ประสบความสำเร็จ เช่น Transport for London สะท้อนว่าปัจจัยความสำเร็จคือการควบคุมทั้ง 4 มิติ (ตั๋ว บริการ โครงสร้างพื้นฐาน และมาตรการเศรษฐศาสตร์) ภายใต้หน่วยงานเดียวและกรอบกฎหมายที่ชัดเจน อันเป็นแนวทางที่ข้อเสนอนี้นำมาประยุกต์ใช้</w:t>
      </w:r>
    </w:p>
    <w:p>
      <w:pPr>
        <w:spacing w:line="240" w:lineRule="auto" w:after="0"/>
        <w:ind w:firstLine="720"/>
        <w:jc w:val="left"/>
      </w:pPr>
      <w:r>
        <w:rPr>
          <w:rFonts w:ascii="TH Sarabun New" w:hAnsi="TH Sarabun New" w:cs="TH Sarabun New" w:eastAsia="TH Sarabun New"/>
          <w:b w:val="0"/>
          <w:i w:val="0"/>
          <w:sz w:val="32"/>
          <w:szCs w:val="32"/>
        </w:rPr>
        <w:t>นอกจากนี้ ยังพบว่าความพยายามในอดีตมักมุ่งเน้นการแก้ปัญหาด้านอุปทาน (Supply-side) เช่น การก่อสร้างโครงสร้างพื้นฐาน มากกว่าการบริหารจัดการด้านอุปสงค์ (Demand-side) เช่น การจูงใจให้เปลี่ยนพฤติกรรมและการบริหารความต้องการเดินทาง ข้อเสนอของคณะผู้จัดทำจึงให้น้ำหนักกับการบริหารอุปสงค์ควบคู่ไปกับการพัฒนาอุปทาน ผ่านมาตรการทางเศรษฐศาสตร์และการยกระดับประสบการณ์ผู้ใช้ ซึ่งเป็นช่องว่างสำคัญที่ยังไม่ได้รับการแก้ไขอย่างเป็นระบบในอดีต</w:t>
      </w:r>
    </w:p>
    <w:p>
      <w:pPr>
        <w:keepNext/>
        <w:spacing w:before="200" w:after="80" w:line="240" w:lineRule="auto"/>
      </w:pPr>
      <w:r>
        <w:rPr>
          <w:rFonts w:ascii="TH Sarabun New" w:hAnsi="TH Sarabun New" w:cs="TH Sarabun New" w:eastAsia="TH Sarabun New"/>
          <w:b/>
          <w:i w:val="0"/>
          <w:color w:val="1F3D6E"/>
          <w:sz w:val="32"/>
          <w:szCs w:val="32"/>
        </w:rPr>
        <w:t>1.5 การวิเคราะห์เชิงกลยุทธ์เชิงสร้างสรรค์ (SOAR Analysis)</w:t>
      </w:r>
    </w:p>
    <w:p>
      <w:pPr>
        <w:spacing w:line="240" w:lineRule="auto" w:after="0"/>
        <w:ind w:firstLine="720"/>
        <w:jc w:val="left"/>
      </w:pPr>
      <w:r>
        <w:rPr>
          <w:rFonts w:ascii="TH Sarabun New" w:hAnsi="TH Sarabun New" w:cs="TH Sarabun New" w:eastAsia="TH Sarabun New"/>
          <w:b w:val="0"/>
          <w:i w:val="0"/>
          <w:sz w:val="32"/>
          <w:szCs w:val="32"/>
        </w:rPr>
        <w:t>คณะผู้จัดทำวิเคราะห์สภาพแวดล้อมเชิงกลยุทธ์ของการบูรณาการระบบขนส่งสาธารณะของไทยด้วยกรอบ SOAR (Strengths–Opportunities–Aspirations–Results) ซึ่งพัฒนาจากฐานคิด Appreciative Inquiry และเหมาะกับรายงานเชิงวิสัยทัศน์/การเปลี่ยนผ่าน เพราะมุ่งต่อยอด "จุดแข็ง" จับคู่กับ "โอกาส" สู่ "อนาคตที่พึงประสงค์ (Aspirations)" และ "ผลลัพธ์ที่วัดได้ (Results)" ที่เชื่อมตรงกับตัวชี้วัด (KPI) ของรายงาน สรุปได้ดังตาราง ทั้งนี้ คณะผู้จัดทำต่อยอด SOAR ด้วย SOAR Strategy Matrix (ภาคผนวก ข) และ McKinsey 7S, Balanced Scorecard และ VRIO (ภาคผนวก ญ) โดยประเด็นจุดอ่อนและความเสี่ยงเดิม (W/T) ได้รับการบริหารอย่างเป็นระบบในหัวข้อการบริหารความเสี่ยงและการบริหารการเปลี่ยนแปลง</w:t>
      </w:r>
    </w:p>
    <w:p>
      <w:pPr>
        <w:jc w:val="thaiDistribute"/>
      </w:pPr>
      <w:r>
        <w:rPr>
          <w:rFonts w:ascii="TH Sarabun New" w:hAnsi="TH Sarabun New" w:cs="TH Sarabun New"/>
          <w:sz w:val="32"/>
          <w:szCs w:val="32"/>
        </w:rPr>
        <w:t xml:space="preserve">หมายเหตุเชิงระเบียบวิธี: คณะผู้จัดทำเลือก SOAR แทน SWOT เนื่องจากเป็นกรอบเชิงสร้างสรรค์ (strengths-based, appreciative) ที่เน้นการมีส่วนร่วมและอนาคตที่พึงประสงค์ เหมาะกับข้อเสนอเชิงการเปลี่ยนผ่าน อนึ่ง เพื่อปิดข้อวิจารณ์ว่า SOAR ให้น้ำหนักความเสี่ยงน้อย การบริหารความเสี่ยงทั้งหมด (รวมประเด็น W/T เดิม) ยังคงครอบคลุมในหัวข้อการบริหารความเสี่ยงและการบริหารการเปลี่ยนแปลงแยกต่างหาก</w:t>
      </w:r>
    </w:p>
    <w:p>
      <w:pPr>
        <w:keepNext/>
        <w:spacing w:before="200" w:after="40" w:line="240" w:lineRule="auto"/>
        <w:jc w:val="center"/>
      </w:pPr>
      <w:r>
        <w:rPr>
          <w:rFonts w:ascii="TH Sarabun New" w:hAnsi="TH Sarabun New" w:cs="TH Sarabun New" w:eastAsia="TH Sarabun New"/>
          <w:b/>
          <w:i w:val="0"/>
          <w:sz w:val="30"/>
          <w:szCs w:val="30"/>
        </w:rPr>
        <w:t>ตารางที่ 2  การวิเคราะห์ SOAR: จุดแข็งและโอกาส (S–O)</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4110"/>
            <w:vAlign w:val="center"/>
            <w:shd w:val="clear" w:color="auto" w:fill="1F4E79"/>
          </w:tcPr>
          <w:p>
            <w:pPr>
              <w:spacing w:after="40" w:before="0"/>
              <w:jc w:val="left"/>
            </w:pPr>
            <w:r>
              <w:rPr>
                <w:rFonts w:ascii="TH Sarabun New" w:hAnsi="TH Sarabun New" w:cs="TH Sarabun New"/>
                <w:sz w:val="30"/>
                <w:szCs w:val="30"/>
                <w:b/>
                <w:bCs/>
              </w:rPr>
              <w:t xml:space="preserve">จุดแข็ง (Strengths) — ฐานที่ leverage ได้</w:t>
            </w:r>
          </w:p>
        </w:tc>
        <w:tc>
          <w:tcPr>
            <w:tcW w:type="dxa" w:w="4110"/>
            <w:vAlign w:val="center"/>
            <w:shd w:val="clear" w:color="auto" w:fill="1F4E79"/>
          </w:tcPr>
          <w:p>
            <w:pPr>
              <w:spacing w:after="40" w:before="0"/>
              <w:jc w:val="left"/>
            </w:pPr>
            <w:r>
              <w:rPr>
                <w:rFonts w:ascii="TH Sarabun New" w:hAnsi="TH Sarabun New" w:cs="TH Sarabun New"/>
                <w:sz w:val="30"/>
                <w:szCs w:val="30"/>
                <w:b/>
                <w:bCs/>
              </w:rPr>
              <w:t xml:space="preserve">โอกาส (Opportunities)</w:t>
            </w:r>
          </w:p>
        </w:tc>
      </w:tr>
      <w:tr>
        <w:trPr>
          <w:cantSplit/>
        </w:trPr>
        <w:tc>
          <w:tcPr>
            <w:tcW w:type="dxa" w:w="4110"/>
            <w:vAlign w:val="top"/>
          </w:tcPr>
          <w:p>
            <w:pPr>
              <w:spacing w:after="40" w:before="0"/>
              <w:jc w:val="left"/>
            </w:pPr>
            <w:r>
              <w:rPr>
                <w:rFonts w:ascii="TH Sarabun New" w:hAnsi="TH Sarabun New" w:cs="TH Sarabun New"/>
                <w:sz w:val="30"/>
                <w:szCs w:val="30"/>
              </w:rPr>
              <w:t xml:space="preserve">• โครงข่ายระบบรางที่ลงทุนแล้วและขยายต่อเนื่อง (M-MAP 2 ครอบคลุมสมุทรปราการ)</w:t>
            </w:r>
          </w:p>
          <w:p>
            <w:pPr>
              <w:spacing w:after="40" w:before="0"/>
              <w:jc w:val="left"/>
            </w:pPr>
            <w:r>
              <w:rPr>
                <w:rFonts w:ascii="TH Sarabun New" w:hAnsi="TH Sarabun New" w:cs="TH Sarabun New"/>
                <w:sz w:val="30"/>
                <w:szCs w:val="30"/>
              </w:rPr>
              <w:t xml:space="preserve">• โครงสร้างพื้นฐานดิจิทัลพร้อม (PromptPay, ThaID) · smartphone &gt; 90%</w:t>
            </w:r>
          </w:p>
          <w:p>
            <w:pPr>
              <w:spacing w:after="40" w:before="0"/>
              <w:jc w:val="left"/>
            </w:pPr>
            <w:r>
              <w:rPr>
                <w:rFonts w:ascii="TH Sarabun New" w:hAnsi="TH Sarabun New" w:cs="TH Sarabun New"/>
                <w:sz w:val="30"/>
                <w:szCs w:val="30"/>
              </w:rPr>
              <w:t xml:space="preserve">• อำนาจตามกฎหมายตั๋วร่วม พ.ร.บ. 2568 (VRIO: ความได้เปรียบยั่งยืน)</w:t>
            </w:r>
          </w:p>
          <w:p>
            <w:pPr>
              <w:spacing w:after="40" w:before="0"/>
              <w:jc w:val="left"/>
            </w:pPr>
            <w:r>
              <w:rPr>
                <w:rFonts w:ascii="TH Sarabun New" w:hAnsi="TH Sarabun New" w:cs="TH Sarabun New"/>
                <w:sz w:val="30"/>
                <w:szCs w:val="30"/>
              </w:rPr>
              <w:t xml:space="preserve">• หน่วยงานครบทุกโหมด + เอกชนผู้ให้บริการแข็งแกร่ง</w:t>
            </w:r>
          </w:p>
          <w:p>
            <w:pPr>
              <w:spacing w:after="40" w:before="0"/>
              <w:jc w:val="left"/>
            </w:pPr>
            <w:r>
              <w:rPr>
                <w:rFonts w:ascii="TH Sarabun New" w:hAnsi="TH Sarabun New" w:cs="TH Sarabun New"/>
                <w:sz w:val="30"/>
                <w:szCs w:val="30"/>
              </w:rPr>
              <w:t xml:space="preserve">• ประชาชนคุ้นเคยการชำระเงินอิเล็กทรอนิกส์/contactless</w:t>
            </w:r>
          </w:p>
        </w:tc>
        <w:tc>
          <w:tcPr>
            <w:tcW w:type="dxa" w:w="4110"/>
            <w:vAlign w:val="top"/>
          </w:tcPr>
          <w:p>
            <w:pPr>
              <w:spacing w:after="40" w:before="0"/>
              <w:jc w:val="left"/>
            </w:pPr>
            <w:r>
              <w:rPr>
                <w:rFonts w:ascii="TH Sarabun New" w:hAnsi="TH Sarabun New" w:cs="TH Sarabun New"/>
                <w:sz w:val="30"/>
                <w:szCs w:val="30"/>
              </w:rPr>
              <w:t xml:space="preserve">• EMV open-loop/ABT + MaaS เป็นมาตรฐานโลก (London/Singapore)</w:t>
            </w:r>
          </w:p>
          <w:p>
            <w:pPr>
              <w:spacing w:after="40" w:before="0"/>
              <w:jc w:val="left"/>
            </w:pPr>
            <w:r>
              <w:rPr>
                <w:rFonts w:ascii="TH Sarabun New" w:hAnsi="TH Sarabun New" w:cs="TH Sarabun New"/>
                <w:sz w:val="30"/>
                <w:szCs w:val="30"/>
              </w:rPr>
              <w:t xml:space="preserve">• บทเรียน public-led: Berlin Jelbi / Vienna / Seoul / Sydney</w:t>
            </w:r>
          </w:p>
          <w:p>
            <w:pPr>
              <w:spacing w:after="40" w:before="0"/>
              <w:jc w:val="left"/>
            </w:pPr>
            <w:r>
              <w:rPr>
                <w:rFonts w:ascii="TH Sarabun New" w:hAnsi="TH Sarabun New" w:cs="TH Sarabun New"/>
                <w:sz w:val="30"/>
                <w:szCs w:val="30"/>
              </w:rPr>
              <w:t xml:space="preserve">• นโยบาย EV 30@30 + Carbon Neutrality 2050 / Net-Zero 2065</w:t>
            </w:r>
          </w:p>
          <w:p>
            <w:pPr>
              <w:spacing w:after="40" w:before="0"/>
              <w:jc w:val="left"/>
            </w:pPr>
            <w:r>
              <w:rPr>
                <w:rFonts w:ascii="TH Sarabun New" w:hAnsi="TH Sarabun New" w:cs="TH Sarabun New"/>
                <w:sz w:val="30"/>
                <w:szCs w:val="30"/>
              </w:rPr>
              <w:t xml:space="preserve">• (reframe) อำนาจออกกฎหมายลูกบังคับ Open API — ก้าวข้ามจุดที่ Whim ล้ม</w:t>
            </w:r>
          </w:p>
          <w:p>
            <w:pPr>
              <w:spacing w:after="40" w:before="0"/>
              <w:jc w:val="left"/>
            </w:pPr>
            <w:r>
              <w:rPr>
                <w:rFonts w:ascii="TH Sarabun New" w:hAnsi="TH Sarabun New" w:cs="TH Sarabun New"/>
                <w:sz w:val="30"/>
                <w:szCs w:val="30"/>
              </w:rPr>
              <w:t xml:space="preserve">• (reframe) ออกแบบ climate-resilient mobility เป็นต้นแบบ</w:t>
            </w:r>
          </w:p>
        </w:tc>
      </w:tr>
    </w:tbl>
    <w:p>
      <w:pPr>
        <w:spacing w:after="120"/>
      </w:pPr>
    </w:p>
    <w:p>
      <w:pPr>
        <w:keepNext/>
        <w:spacing w:before="200" w:after="40" w:line="240" w:lineRule="auto"/>
        <w:jc w:val="center"/>
      </w:pPr>
      <w:r>
        <w:rPr>
          <w:rFonts w:ascii="TH Sarabun New" w:hAnsi="TH Sarabun New" w:cs="TH Sarabun New" w:eastAsia="TH Sarabun New"/>
          <w:b/>
          <w:i w:val="0"/>
          <w:sz w:val="30"/>
          <w:szCs w:val="30"/>
        </w:rPr>
        <w:t>ตารางที่ 3  การวิเคราะห์ SOAR: ความมุ่งปรารถนาและผลลัพธ์ (A–R)</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4110"/>
            <w:vAlign w:val="center"/>
            <w:shd w:val="clear" w:color="auto" w:fill="1F4E79"/>
          </w:tcPr>
          <w:p>
            <w:pPr>
              <w:spacing w:after="40" w:before="0"/>
              <w:jc w:val="left"/>
            </w:pPr>
            <w:r>
              <w:rPr>
                <w:rFonts w:ascii="TH Sarabun New" w:hAnsi="TH Sarabun New" w:cs="TH Sarabun New"/>
                <w:sz w:val="30"/>
                <w:szCs w:val="30"/>
                <w:b/>
                <w:bCs/>
              </w:rPr>
              <w:t xml:space="preserve">ความมุ่งมาดปรารถนา (Aspirations)</w:t>
            </w:r>
          </w:p>
        </w:tc>
        <w:tc>
          <w:tcPr>
            <w:tcW w:type="dxa" w:w="4110"/>
            <w:vAlign w:val="center"/>
            <w:shd w:val="clear" w:color="auto" w:fill="1F4E79"/>
          </w:tcPr>
          <w:p>
            <w:pPr>
              <w:spacing w:after="40" w:before="0"/>
              <w:jc w:val="left"/>
            </w:pPr>
            <w:r>
              <w:rPr>
                <w:rFonts w:ascii="TH Sarabun New" w:hAnsi="TH Sarabun New" w:cs="TH Sarabun New"/>
                <w:sz w:val="30"/>
                <w:szCs w:val="30"/>
                <w:b/>
                <w:bCs/>
              </w:rPr>
              <w:t xml:space="preserve">ผลลัพธ์ที่วัดได้ (Results) · เป้า พ.ศ. 2576</w:t>
            </w:r>
          </w:p>
        </w:tc>
      </w:tr>
      <w:tr>
        <w:trPr>
          <w:cantSplit/>
        </w:trPr>
        <w:tc>
          <w:tcPr>
            <w:tcW w:type="dxa" w:w="4110"/>
            <w:vAlign w:val="top"/>
          </w:tcPr>
          <w:p>
            <w:pPr>
              <w:spacing w:after="40" w:before="0"/>
              <w:jc w:val="left"/>
            </w:pPr>
            <w:r>
              <w:rPr>
                <w:rFonts w:ascii="TH Sarabun New" w:hAnsi="TH Sarabun New" w:cs="TH Sarabun New"/>
                <w:sz w:val="30"/>
                <w:szCs w:val="30"/>
              </w:rPr>
              <w:t xml:space="preserve">• สมุทรปราการเป็นต้นแบบเมืองบูรณาการไร้รอยต่อระดับอาเซียน (public-led)</w:t>
            </w:r>
          </w:p>
          <w:p>
            <w:pPr>
              <w:spacing w:after="40" w:before="0"/>
              <w:jc w:val="left"/>
            </w:pPr>
            <w:r>
              <w:rPr>
                <w:rFonts w:ascii="TH Sarabun New" w:hAnsi="TH Sarabun New" w:cs="TH Sarabun New"/>
                <w:sz w:val="30"/>
                <w:szCs w:val="30"/>
              </w:rPr>
              <w:t xml:space="preserve">• "แตะเดียวทั้งจังหวัด" (single-tap) แบบ London / Sydney</w:t>
            </w:r>
          </w:p>
          <w:p>
            <w:pPr>
              <w:spacing w:after="40" w:before="0"/>
              <w:jc w:val="left"/>
            </w:pPr>
            <w:r>
              <w:rPr>
                <w:rFonts w:ascii="TH Sarabun New" w:hAnsi="TH Sarabun New" w:cs="TH Sarabun New"/>
                <w:sz w:val="30"/>
                <w:szCs w:val="30"/>
              </w:rPr>
              <w:t xml:space="preserve">• First/Last mile เข้าถึง-สะดวก-ปลอดภัย ครอบคลุมทุกกลุ่ม (inclusive)</w:t>
            </w:r>
          </w:p>
          <w:p>
            <w:pPr>
              <w:spacing w:after="40" w:before="0"/>
              <w:jc w:val="left"/>
            </w:pPr>
            <w:r>
              <w:rPr>
                <w:rFonts w:ascii="TH Sarabun New" w:hAnsi="TH Sarabun New" w:cs="TH Sarabun New"/>
                <w:sz w:val="30"/>
                <w:szCs w:val="30"/>
              </w:rPr>
              <w:t xml:space="preserve">• เมืองคาร์บอนต่ำและทนทานต่อภูมิอากาศ (SDG 11/13)</w:t>
            </w:r>
          </w:p>
          <w:p>
            <w:pPr>
              <w:spacing w:after="40" w:before="0"/>
              <w:jc w:val="left"/>
            </w:pPr>
            <w:r>
              <w:rPr>
                <w:rFonts w:ascii="TH Sarabun New" w:hAnsi="TH Sarabun New" w:cs="TH Sarabun New"/>
                <w:sz w:val="30"/>
                <w:szCs w:val="30"/>
              </w:rPr>
              <w:t xml:space="preserve">• ขยายผลโมเดลทั่วประเทศภายใน พ.ศ. 2576</w:t>
            </w:r>
          </w:p>
        </w:tc>
        <w:tc>
          <w:tcPr>
            <w:tcW w:type="dxa" w:w="4110"/>
            <w:vAlign w:val="top"/>
          </w:tcPr>
          <w:p>
            <w:pPr>
              <w:spacing w:after="40" w:before="0"/>
              <w:jc w:val="left"/>
            </w:pPr>
            <w:r>
              <w:rPr>
                <w:rFonts w:ascii="TH Sarabun New" w:hAnsi="TH Sarabun New" w:cs="TH Sarabun New"/>
                <w:sz w:val="30"/>
                <w:szCs w:val="30"/>
              </w:rPr>
              <w:t xml:space="preserve">• Modal share ≥ 20% · CO₂ ลด 30% · เวลาเดินทาง ลด 25%</w:t>
            </w:r>
          </w:p>
          <w:p>
            <w:pPr>
              <w:spacing w:after="40" w:before="0"/>
              <w:jc w:val="left"/>
            </w:pPr>
            <w:r>
              <w:rPr>
                <w:rFonts w:ascii="TH Sarabun New" w:hAnsi="TH Sarabun New" w:cs="TH Sarabun New"/>
                <w:sz w:val="30"/>
                <w:szCs w:val="30"/>
              </w:rPr>
              <w:t xml:space="preserve">• ตั๋วร่วม EMV/ABT ≥ 80% · First/Last mile ≤ 10 นาที</w:t>
            </w:r>
          </w:p>
          <w:p>
            <w:pPr>
              <w:spacing w:after="40" w:before="0"/>
              <w:jc w:val="left"/>
            </w:pPr>
            <w:r>
              <w:rPr>
                <w:rFonts w:ascii="TH Sarabun New" w:hAnsi="TH Sarabun New" w:cs="TH Sarabun New"/>
                <w:sz w:val="30"/>
                <w:szCs w:val="30"/>
              </w:rPr>
              <w:t xml:space="preserve">• อุบัติเหตุ Complete Streets ลด 40% · NPS +40%</w:t>
            </w:r>
          </w:p>
          <w:p>
            <w:pPr>
              <w:spacing w:after="40" w:before="0"/>
              <w:jc w:val="left"/>
            </w:pPr>
            <w:r>
              <w:rPr>
                <w:rFonts w:ascii="TH Sarabun New" w:hAnsi="TH Sarabun New" w:cs="TH Sarabun New"/>
                <w:sz w:val="30"/>
                <w:szCs w:val="30"/>
              </w:rPr>
              <w:t xml:space="preserve">• BCR 8–12 เท่า · รายได้ใหม่ 27–42 พันล้านบาท/ปี</w:t>
            </w:r>
          </w:p>
          <w:p>
            <w:pPr>
              <w:spacing w:after="40" w:before="0"/>
              <w:jc w:val="left"/>
            </w:pPr>
            <w:r>
              <w:rPr>
                <w:rFonts w:ascii="TH Sarabun New" w:hAnsi="TH Sarabun New" w:cs="TH Sarabun New"/>
                <w:sz w:val="30"/>
                <w:szCs w:val="30"/>
              </w:rPr>
              <w:t xml:space="preserve">• บุคลากรพัฒนา ≥ 200 คน · แอปต่อยอด ≥ 10</w:t>
            </w:r>
          </w:p>
        </w:tc>
      </w:tr>
    </w:tbl>
    <w:p>
      <w:pPr>
        <w:spacing w:after="120"/>
      </w:pPr>
    </w:p>
    <w:p>
      <w:pPr>
        <w:keepNext/>
        <w:spacing w:before="200" w:after="80" w:line="240" w:lineRule="auto"/>
      </w:pPr>
      <w:r>
        <w:rPr>
          <w:rFonts w:ascii="TH Sarabun New" w:hAnsi="TH Sarabun New" w:cs="TH Sarabun New" w:eastAsia="TH Sarabun New"/>
          <w:b/>
          <w:i w:val="0"/>
          <w:color w:val="1F3D6E"/>
          <w:sz w:val="32"/>
          <w:szCs w:val="32"/>
        </w:rPr>
        <w:t>1.6 สรุปสภาพปัญหาและความพยายามในอดีต</w:t>
      </w:r>
    </w:p>
    <w:p>
      <w:pPr>
        <w:spacing w:line="240" w:lineRule="auto" w:after="0"/>
        <w:ind w:firstLine="720"/>
        <w:jc w:val="left"/>
      </w:pPr>
      <w:r>
        <w:rPr>
          <w:rFonts w:ascii="TH Sarabun New" w:hAnsi="TH Sarabun New" w:cs="TH Sarabun New" w:eastAsia="TH Sarabun New"/>
          <w:b w:val="0"/>
          <w:i w:val="0"/>
          <w:sz w:val="32"/>
          <w:szCs w:val="32"/>
        </w:rPr>
        <w:t>โดยสรุป ปัญหาการคมนาคมขนส่งในเขตเมืองเป็นปัญหาเชิงระบบที่สะสมมานานกว่า 10 ปี ส่งผลกระทบทางเศรษฐกิจ สิ่งแวดล้อม และคุณภาพชีวิตอย่างมีนัยสำคัญ ความพยายามที่ผ่านมาล้มเหลวเพราะดำเนินการแบบแยกส่วนและขาดกรอบกฎหมายรองรับ ขณะที่บทเรียนจากต่างประเทศชี้ชัดว่าความสำเร็จต้องอาศัยการบูรณาการเชิงระบบภายใต้การนำของภาครัฐ จุดเปลี่ยนสำคัญคือการประกาศใช้พระราชบัญญัติการบริหารจัดการระบบตั๋วร่วม พ.ศ. 2568 ซึ่งเป็นเครื่องมือทางกฎหมายที่ทำให้การบูรณาการเชิงระบบเป็นไปได้จริงเป็นครั้งแรกของประเทศไทย</w:t>
      </w:r>
    </w:p>
    <w:p>
      <w:pPr>
        <w:spacing w:line="240" w:lineRule="auto" w:after="0"/>
        <w:ind w:firstLine="720"/>
        <w:jc w:val="left"/>
      </w:pPr>
      <w:r>
        <w:rPr>
          <w:rFonts w:ascii="TH Sarabun New" w:hAnsi="TH Sarabun New" w:cs="TH Sarabun New" w:eastAsia="TH Sarabun New"/>
          <w:b w:val="0"/>
          <w:i w:val="0"/>
          <w:sz w:val="32"/>
          <w:szCs w:val="32"/>
        </w:rPr>
        <w:t>การวิเคราะห์ในหัวข้อนี้นำไปสู่ข้อสรุปเชิงนโยบายที่สำคัญว่า ประเทศไทยไม่ได้ขาดแคลนโครงสร้างพื้นฐานหรือเทคโนโลยีอีกต่อไป แต่ขาด "การบูรณาการ" ที่ทำให้องค์ประกอบต่าง ๆ ทำงานร่วมกันเพื่อประโยชน์ของประชาชน ช่องว่างนี้เองที่ข้อเสนอในหัวข้อถัด ๆ ไปมุ่งเติมเต็ม โดยอาศัยจังหวะเวลาที่กฎหมายและนโยบายเอื้ออำนวย ผนวกกับบทเรียนความสำเร็จและความล้มเหลวจากต่างประเทศ เพื่อออกแบบแนวทางที่เหมาะสมกับบริบทของประเทศไทยและนำไปปฏิบัติได้จริง</w:t>
      </w:r>
    </w:p>
    <w:p>
      <w:pPr>
        <w:keepNext/>
        <w:spacing w:before="360" w:after="200" w:line="240" w:lineRule="auto"/>
        <w:jc w:val="left"/>
      </w:pPr>
      <w:r>
        <w:rPr>
          <w:rFonts w:ascii="TH Sarabun New" w:hAnsi="TH Sarabun New" w:cs="TH Sarabun New" w:eastAsia="TH Sarabun New"/>
          <w:b/>
          <w:i w:val="0"/>
          <w:color w:val="1F3D6E"/>
          <w:sz w:val="36"/>
          <w:szCs w:val="36"/>
        </w:rPr>
        <w:t>2.  การคาดการณ์ปัญหาของประเทศในอนาคต</w:t>
      </w:r>
    </w:p>
    <w:p>
      <w:pPr>
        <w:keepNext/>
        <w:spacing w:before="200" w:after="80" w:line="240" w:lineRule="auto"/>
      </w:pPr>
      <w:r>
        <w:rPr>
          <w:rFonts w:ascii="TH Sarabun New" w:hAnsi="TH Sarabun New" w:cs="TH Sarabun New" w:eastAsia="TH Sarabun New"/>
          <w:b/>
          <w:i w:val="0"/>
          <w:color w:val="1F3D6E"/>
          <w:sz w:val="32"/>
          <w:szCs w:val="32"/>
        </w:rPr>
        <w:t>2.1 แนวโน้มของปัญหาใน 10 ปีข้างหน้า (กรณีไม่ดำเนินการเพิ่มเติม)</w:t>
      </w:r>
    </w:p>
    <w:p>
      <w:pPr>
        <w:spacing w:line="240" w:lineRule="auto" w:after="0"/>
        <w:ind w:firstLine="720"/>
        <w:jc w:val="left"/>
      </w:pPr>
      <w:r>
        <w:rPr>
          <w:rFonts w:ascii="TH Sarabun New" w:hAnsi="TH Sarabun New" w:cs="TH Sarabun New" w:eastAsia="TH Sarabun New"/>
          <w:b w:val="0"/>
          <w:i w:val="0"/>
          <w:sz w:val="32"/>
          <w:szCs w:val="32"/>
        </w:rPr>
        <w:t>หากไม่มีการดำเนินการเชิงนโยบายเพิ่มเติม คาดการณ์ว่าในระยะ 10 ปีข้างหน้า (พ.ศ. 2569-2579) ปัญหาการคมนาคมขนส่งในเขตเมืองจะทวีความรุนแรงขึ้นภายใต้สถานการณ์ฐาน (Business-as-Usual) ดังนี้</w:t>
      </w:r>
    </w:p>
    <w:p>
      <w:pPr>
        <w:spacing w:line="240" w:lineRule="auto" w:after="60"/>
        <w:ind w:left="850" w:hanging="454"/>
        <w:jc w:val="left"/>
      </w:pPr>
      <w:r>
        <w:rPr>
          <w:rFonts w:ascii="TH Sarabun New" w:hAnsi="TH Sarabun New" w:cs="TH Sarabun New" w:eastAsia="TH Sarabun New"/>
          <w:b/>
          <w:i w:val="0"/>
          <w:sz w:val="32"/>
          <w:szCs w:val="32"/>
        </w:rPr>
        <w:t xml:space="preserve">1)  </w:t>
      </w:r>
      <w:r>
        <w:rPr>
          <w:rFonts w:ascii="TH Sarabun New" w:hAnsi="TH Sarabun New" w:cs="TH Sarabun New" w:eastAsia="TH Sarabun New"/>
          <w:b w:val="0"/>
          <w:i w:val="0"/>
          <w:sz w:val="32"/>
          <w:szCs w:val="32"/>
        </w:rPr>
        <w:t>การจราจรติดขัดจะรุนแรงขึ้นตามการขยายตัวของความเป็นเมือง (Urbanization) และการเพิ่มขึ้นของยานยนต์ส่วนบุคคลที่เติบโตเฉลี่ยปีละร้อยละ 4-5 ส่งผลให้ความสูญเสียทางเศรษฐกิจจากความล่าช้ามีแนวโน้มเพิ่มจาก 250,000 ล้านบาท เป็นกว่า 300,000-350,000 ล้านบาทต่อปี</w:t>
      </w:r>
    </w:p>
    <w:p>
      <w:pPr>
        <w:spacing w:line="240" w:lineRule="auto" w:after="60"/>
        <w:ind w:left="850" w:hanging="454"/>
        <w:jc w:val="left"/>
      </w:pPr>
      <w:r>
        <w:rPr>
          <w:rFonts w:ascii="TH Sarabun New" w:hAnsi="TH Sarabun New" w:cs="TH Sarabun New" w:eastAsia="TH Sarabun New"/>
          <w:b/>
          <w:i w:val="0"/>
          <w:sz w:val="32"/>
          <w:szCs w:val="32"/>
        </w:rPr>
        <w:t xml:space="preserve">2)  </w:t>
      </w:r>
      <w:r>
        <w:rPr>
          <w:rFonts w:ascii="TH Sarabun New" w:hAnsi="TH Sarabun New" w:cs="TH Sarabun New" w:eastAsia="TH Sarabun New"/>
          <w:b w:val="0"/>
          <w:i w:val="0"/>
          <w:sz w:val="32"/>
          <w:szCs w:val="32"/>
        </w:rPr>
        <w:t>มลพิษทางอากาศ โดยเฉพาะ PM2.5 จะยังคงเกินค่ามาตรฐานในเขตเมืองและพื้นที่อุตสาหกรรม ส่งผลกระทบสะสมต่อสุขภาพประชาชนและเพิ่มภาระค่าใช้จ่ายด้านสาธารณสุข ตลอดจนกระทบต่อภาพลักษณ์และขีดความสามารถในการแข่งขันด้านการท่องเที่ยวและการลงทุน</w:t>
      </w:r>
    </w:p>
    <w:p>
      <w:pPr>
        <w:spacing w:line="240" w:lineRule="auto" w:after="60"/>
        <w:ind w:left="850" w:hanging="454"/>
        <w:jc w:val="left"/>
      </w:pPr>
      <w:r>
        <w:rPr>
          <w:rFonts w:ascii="TH Sarabun New" w:hAnsi="TH Sarabun New" w:cs="TH Sarabun New" w:eastAsia="TH Sarabun New"/>
          <w:b/>
          <w:i w:val="0"/>
          <w:sz w:val="32"/>
          <w:szCs w:val="32"/>
        </w:rPr>
        <w:t xml:space="preserve">3)  </w:t>
      </w:r>
      <w:r>
        <w:rPr>
          <w:rFonts w:ascii="TH Sarabun New" w:hAnsi="TH Sarabun New" w:cs="TH Sarabun New" w:eastAsia="TH Sarabun New"/>
          <w:b w:val="0"/>
          <w:i w:val="0"/>
          <w:sz w:val="32"/>
          <w:szCs w:val="32"/>
        </w:rPr>
        <w:t>การปล่อยก๊าซเรือนกระจกจากภาคขนส่งจะยังคงเพิ่มขึ้น สวนทางกับพันธกรณีของประเทศภายใต้ความตกลงปารีสและเป้าหมายความเป็นกลางทางคาร์บอน (Carbon Neutrality) ภายในปี ค.ศ. 2050 และการปล่อยก๊าซเรือนกระจกสุทธิเป็นศูนย์ (Net-Zero) ภายในปี ค.ศ. 2065</w:t>
      </w:r>
      <w:r>
        <w:rPr>
          <w:rFonts w:ascii="TH Sarabun New" w:hAnsi="TH Sarabun New" w:cs="TH Sarabun New" w:eastAsia="TH Sarabun New"/>
          <w:b w:val="0"/>
          <w:i w:val="0"/>
          <w:sz w:val="32"/>
          <w:szCs w:val="32"/>
        </w:rPr>
        <w:t xml:space="preserve"> (สำนักงานนโยบายและแผนทรัพยากรธรรมชาติและสิ่งแวดล้อม, 2565)</w:t>
      </w:r>
    </w:p>
    <w:p>
      <w:pPr>
        <w:spacing w:line="240" w:lineRule="auto" w:after="60"/>
        <w:ind w:left="850" w:hanging="454"/>
        <w:jc w:val="left"/>
      </w:pPr>
      <w:r>
        <w:rPr>
          <w:rFonts w:ascii="TH Sarabun New" w:hAnsi="TH Sarabun New" w:cs="TH Sarabun New" w:eastAsia="TH Sarabun New"/>
          <w:b/>
          <w:i w:val="0"/>
          <w:sz w:val="32"/>
          <w:szCs w:val="32"/>
        </w:rPr>
        <w:t xml:space="preserve">4)  </w:t>
      </w:r>
      <w:r>
        <w:rPr>
          <w:rFonts w:ascii="TH Sarabun New" w:hAnsi="TH Sarabun New" w:cs="TH Sarabun New" w:eastAsia="TH Sarabun New"/>
          <w:b w:val="0"/>
          <w:i w:val="0"/>
          <w:sz w:val="32"/>
          <w:szCs w:val="32"/>
        </w:rPr>
        <w:t>การลงทุนโครงสร้างพื้นฐานรถไฟฟ้ามูลค่าสูงจะไม่เกิดประสิทธิภาพคุ้มค่าเต็มที่ เนื่องจากปัญหาการเชื่อมต่อ First/Last Mile และระบบตั๋วที่แยกส่วนยังไม่ได้รับการแก้ไข ทำให้ผู้โดยสารบางส่วนยังเลือกใช้รถยนต์ส่วนบุคคล</w:t>
      </w:r>
    </w:p>
    <w:p>
      <w:pPr>
        <w:keepNext/>
        <w:spacing w:before="200" w:after="80" w:line="240" w:lineRule="auto"/>
      </w:pPr>
      <w:r>
        <w:rPr>
          <w:rFonts w:ascii="TH Sarabun New" w:hAnsi="TH Sarabun New" w:cs="TH Sarabun New" w:eastAsia="TH Sarabun New"/>
          <w:b/>
          <w:i w:val="0"/>
          <w:color w:val="1F3D6E"/>
          <w:sz w:val="32"/>
          <w:szCs w:val="32"/>
        </w:rPr>
        <w:t>2.2 การวิเคราะห์สภาพแวดล้อมภายนอก (PESTEL Analysis)</w:t>
      </w:r>
    </w:p>
    <w:p>
      <w:pPr>
        <w:spacing w:line="240" w:lineRule="auto" w:after="0"/>
        <w:ind w:firstLine="720"/>
        <w:jc w:val="left"/>
      </w:pPr>
      <w:r>
        <w:rPr>
          <w:rFonts w:ascii="TH Sarabun New" w:hAnsi="TH Sarabun New" w:cs="TH Sarabun New" w:eastAsia="TH Sarabun New"/>
          <w:b w:val="0"/>
          <w:i w:val="0"/>
          <w:sz w:val="32"/>
          <w:szCs w:val="32"/>
        </w:rPr>
        <w:t>เพื่อคาดการณ์ทิศทางของปัญหาและโอกาสในอนาคต คณะผู้จัดทำวิเคราะห์ปัจจัยแวดล้อมภายนอกด้วยกรอบ PESTEL สรุปได้ดังตาราง</w:t>
      </w:r>
    </w:p>
    <w:p>
      <w:pPr>
        <w:keepNext/>
        <w:spacing w:before="200" w:after="40" w:line="240" w:lineRule="auto"/>
        <w:jc w:val="center"/>
      </w:pPr>
      <w:r>
        <w:rPr>
          <w:rFonts w:ascii="TH Sarabun New" w:hAnsi="TH Sarabun New" w:cs="TH Sarabun New" w:eastAsia="TH Sarabun New"/>
          <w:b/>
          <w:i w:val="0"/>
          <w:sz w:val="30"/>
          <w:szCs w:val="30"/>
        </w:rPr>
        <w:t>ตารางที่ 4  การวิเคราะห์สภาพแวดล้อมภายนอก (PESTEL)</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1984"/>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มิติ</w:t>
            </w:r>
          </w:p>
        </w:tc>
        <w:tc>
          <w:tcPr>
            <w:tcW w:type="dxa" w:w="6236"/>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แนวโน้มและผลต่อการบูรณาการระบบขนส่ง</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การเมือง (Political)</w:t>
            </w:r>
          </w:p>
        </w:tc>
        <w:tc>
          <w:tcPr>
            <w:tcW w:type="dxa" w:w="6236"/>
            <w:vAlign w:val="top"/>
          </w:tcPr>
          <w:p>
            <w:pPr>
              <w:spacing w:after="0" w:line="240" w:lineRule="auto"/>
              <w:jc w:val="left"/>
            </w:pPr>
            <w:r/>
            <w:r>
              <w:rPr>
                <w:rFonts w:ascii="TH Sarabun New" w:hAnsi="TH Sarabun New" w:cs="TH Sarabun New" w:eastAsia="TH Sarabun New"/>
                <w:b w:val="0"/>
                <w:i w:val="0"/>
                <w:sz w:val="26"/>
                <w:szCs w:val="26"/>
              </w:rPr>
              <w:t>พ.ร.บ. ตั๋วร่วม 2568 และนโยบายคมนาคมเปิดทางบูรณาการ แต่มีความเสี่ยงด้านความต่อเนื่อง</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เศรษฐกิจ (Economic)</w:t>
            </w:r>
          </w:p>
        </w:tc>
        <w:tc>
          <w:tcPr>
            <w:tcW w:type="dxa" w:w="6236"/>
            <w:vAlign w:val="top"/>
          </w:tcPr>
          <w:p>
            <w:pPr>
              <w:spacing w:after="0" w:line="240" w:lineRule="auto"/>
              <w:jc w:val="left"/>
            </w:pPr>
            <w:r/>
            <w:r>
              <w:rPr>
                <w:rFonts w:ascii="TH Sarabun New" w:hAnsi="TH Sarabun New" w:cs="TH Sarabun New" w:eastAsia="TH Sarabun New"/>
                <w:b w:val="0"/>
                <w:i w:val="0"/>
                <w:sz w:val="26"/>
                <w:szCs w:val="26"/>
              </w:rPr>
              <w:t>การเติบโตของเมืองและนิคมอุตสาหกรรมเพิ่มความต้องการเดินทาง · ต้นทุนความแออัดสูงขึ้น</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สังคม (Social)</w:t>
            </w:r>
          </w:p>
        </w:tc>
        <w:tc>
          <w:tcPr>
            <w:tcW w:type="dxa" w:w="6236"/>
            <w:vAlign w:val="top"/>
          </w:tcPr>
          <w:p>
            <w:pPr>
              <w:spacing w:after="0" w:line="240" w:lineRule="auto"/>
              <w:jc w:val="left"/>
            </w:pPr>
            <w:r/>
            <w:r>
              <w:rPr>
                <w:rFonts w:ascii="TH Sarabun New" w:hAnsi="TH Sarabun New" w:cs="TH Sarabun New" w:eastAsia="TH Sarabun New"/>
                <w:b w:val="0"/>
                <w:i w:val="0"/>
                <w:sz w:val="26"/>
                <w:szCs w:val="26"/>
              </w:rPr>
              <w:t>สังคมสูงวัยและคนเมืองรุ่นใหม่ต้องการระบบขนส่งที่เข้าถึงง่าย สะดวก และเป็นดิจิทัล</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เทคโนโลยี (Technological)</w:t>
            </w:r>
          </w:p>
        </w:tc>
        <w:tc>
          <w:tcPr>
            <w:tcW w:type="dxa" w:w="6236"/>
            <w:vAlign w:val="top"/>
          </w:tcPr>
          <w:p>
            <w:pPr>
              <w:spacing w:after="0" w:line="240" w:lineRule="auto"/>
              <w:jc w:val="left"/>
            </w:pPr>
            <w:r/>
            <w:r>
              <w:rPr>
                <w:rFonts w:ascii="TH Sarabun New" w:hAnsi="TH Sarabun New" w:cs="TH Sarabun New" w:eastAsia="TH Sarabun New"/>
                <w:b w:val="0"/>
                <w:i w:val="0"/>
                <w:sz w:val="26"/>
                <w:szCs w:val="26"/>
              </w:rPr>
              <w:t>EMV open-loop, MaaS, ThaID, GTFS/GBFS และ AI พร้อมใช้งานในระดับสากล</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สิ่งแวดล้อม (Environmental)</w:t>
            </w:r>
          </w:p>
        </w:tc>
        <w:tc>
          <w:tcPr>
            <w:tcW w:type="dxa" w:w="6236"/>
            <w:vAlign w:val="top"/>
          </w:tcPr>
          <w:p>
            <w:pPr>
              <w:spacing w:after="0" w:line="240" w:lineRule="auto"/>
              <w:jc w:val="left"/>
            </w:pPr>
            <w:r/>
            <w:r>
              <w:rPr>
                <w:rFonts w:ascii="TH Sarabun New" w:hAnsi="TH Sarabun New" w:cs="TH Sarabun New" w:eastAsia="TH Sarabun New"/>
                <w:b w:val="0"/>
                <w:i w:val="0"/>
                <w:sz w:val="26"/>
                <w:szCs w:val="26"/>
              </w:rPr>
              <w:t>แรงกดดันลด PM2.5 และคาร์บอน · ความเสี่ยงน้ำท่วม-แผ่นดินทรุดในพื้นที่ลุ่มต่ำ</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กฎหมาย (Legal)</w:t>
            </w:r>
          </w:p>
        </w:tc>
        <w:tc>
          <w:tcPr>
            <w:tcW w:type="dxa" w:w="6236"/>
            <w:vAlign w:val="top"/>
          </w:tcPr>
          <w:p>
            <w:pPr>
              <w:spacing w:after="0" w:line="240" w:lineRule="auto"/>
              <w:jc w:val="left"/>
            </w:pPr>
            <w:r/>
            <w:r>
              <w:rPr>
                <w:rFonts w:ascii="TH Sarabun New" w:hAnsi="TH Sarabun New" w:cs="TH Sarabun New" w:eastAsia="TH Sarabun New"/>
                <w:b w:val="0"/>
                <w:i w:val="0"/>
                <w:sz w:val="26"/>
                <w:szCs w:val="26"/>
              </w:rPr>
              <w:t>พ.ร.บ. ตั๋วร่วม · PDPA · พ.ร.บ. ไซเบอร์ฯ กำหนดกรอบการใช้ข้อมูลและธรรมาภิบาล</w:t>
            </w:r>
          </w:p>
        </w:tc>
      </w:tr>
    </w:tbl>
    <w:p>
      <w:pPr>
        <w:spacing w:after="120"/>
      </w:pPr>
    </w:p>
    <w:p>
      <w:pPr>
        <w:keepNext/>
        <w:spacing w:before="200" w:after="80" w:line="240" w:lineRule="auto"/>
      </w:pPr>
      <w:r>
        <w:rPr>
          <w:rFonts w:ascii="TH Sarabun New" w:hAnsi="TH Sarabun New" w:cs="TH Sarabun New" w:eastAsia="TH Sarabun New"/>
          <w:b/>
          <w:i w:val="0"/>
          <w:color w:val="1F3D6E"/>
          <w:sz w:val="32"/>
          <w:szCs w:val="32"/>
        </w:rPr>
        <w:t>2.3 ความเสี่ยงด้านการเปลี่ยนแปลงสภาพภูมิอากาศในพื้นที่จังหวัดสมุทรปราการ</w:t>
      </w:r>
    </w:p>
    <w:p>
      <w:pPr>
        <w:spacing w:line="240" w:lineRule="auto" w:after="0"/>
        <w:ind w:firstLine="720"/>
        <w:jc w:val="left"/>
      </w:pPr>
      <w:r>
        <w:rPr>
          <w:rFonts w:ascii="TH Sarabun New" w:hAnsi="TH Sarabun New" w:cs="TH Sarabun New" w:eastAsia="TH Sarabun New"/>
          <w:b w:val="0"/>
          <w:i w:val="0"/>
          <w:sz w:val="32"/>
          <w:szCs w:val="32"/>
        </w:rPr>
        <w:t>จังหวัดสมุทรปราการเป็นพื้นที่ลุ่มต่ำชายฝั่งอ่าวไทยที่มีความเปราะบางสูงต่อการเปลี่ยนแปลงสภาพภูมิอากาศ ทั้งปัญหาแผ่นดินทรุดจากการสูบน้ำบาดาลและการอัดตัวของชั้นดินเหนียว ระดับน้ำทะเลที่หนุนสูงขึ้น และน้ำท่วมจากฝนตกหนักและน้ำทะเลหนุน ปัจจัยเหล่านี้อาจกระทบต่อโครงข่ายและการให้บริการระบบขนส่งในระยะยาว เช่น สถานี อู่จอด และเส้นทางเดินเรือ ดังนั้น การออกแบบระบบขนส่งในพื้นที่นำร่องจึงจำเป็นต้องคำนึงถึงภูมิคุ้มกันด้านภูมิอากาศ (Climate Resilience) เช่น การยกระดับอู่จอดและสถานี การวางระบบ MaaS ที่รองรับการแจ้งเตือนน้ำท่วม (Flood-aware) และการออกแบบทางเท้าและพื้นที่สาธารณะให้ระบายน้ำได้ดี</w:t>
      </w:r>
      <w:r>
        <w:rPr>
          <w:rFonts w:ascii="TH Sarabun New" w:hAnsi="TH Sarabun New" w:cs="TH Sarabun New" w:eastAsia="TH Sarabun New"/>
          <w:b w:val="0"/>
          <w:i w:val="0"/>
          <w:sz w:val="32"/>
          <w:szCs w:val="32"/>
        </w:rPr>
        <w:t xml:space="preserve"> (องค์การบริหารส่วนจังหวัดสมุทรปราการ, 2566)</w:t>
      </w:r>
    </w:p>
    <w:p>
      <w:pPr>
        <w:keepNext/>
        <w:spacing w:before="200" w:after="80" w:line="240" w:lineRule="auto"/>
      </w:pPr>
      <w:r>
        <w:rPr>
          <w:rFonts w:ascii="TH Sarabun New" w:hAnsi="TH Sarabun New" w:cs="TH Sarabun New" w:eastAsia="TH Sarabun New"/>
          <w:b/>
          <w:i w:val="0"/>
          <w:color w:val="1F3D6E"/>
          <w:sz w:val="32"/>
          <w:szCs w:val="32"/>
        </w:rPr>
        <w:t>2.4 ปัจจัยขับเคลื่อนทั้งภายในและภายนอกประเทศ</w:t>
      </w:r>
    </w:p>
    <w:p>
      <w:pPr>
        <w:spacing w:line="240" w:lineRule="auto" w:after="0"/>
        <w:ind w:firstLine="720"/>
        <w:jc w:val="left"/>
      </w:pPr>
      <w:r>
        <w:rPr>
          <w:rFonts w:ascii="TH Sarabun New" w:hAnsi="TH Sarabun New" w:cs="TH Sarabun New" w:eastAsia="TH Sarabun New"/>
          <w:b w:val="0"/>
          <w:i w:val="0"/>
          <w:sz w:val="32"/>
          <w:szCs w:val="32"/>
        </w:rPr>
        <w:t>ปัจจัยที่ทำให้ปัญหาก่อตัวและขยายตัว ตลอดจนสร้างทั้งแรงกดดันและโอกาส ได้แก่ การขยายตัวของความเป็นเมืองและการเติบโตของพื้นที่เศรษฐกิจรอบกรุงเทพมหานคร การเข้าสู่สังคมสูงวัยที่เพิ่มความต้องการระบบขนส่งสาธารณะที่เข้าถึงง่ายและปลอดภัย การเปลี่ยนผ่านสู่ยานยนต์ไฟฟ้าตามนโยบาย 30@30 ความตื่นตัวด้านสิ่งแวดล้อมและสุขภาพของประชาชน ตลอดจนแนวโน้มเทคโนโลยี MaaS และการชำระเงินแบบเปิด (EMV Open-loop) ที่แพร่หลายในระดับสากล ปัจจัยเหล่านี้เป็นแรงผลักดันให้ประเทศไทยต้องเร่งบูรณาการระบบขนส่งให้ทันต่อการเปลี่ยนแปลง</w:t>
      </w:r>
      <w:r>
        <w:rPr>
          <w:rFonts w:ascii="TH Sarabun New" w:hAnsi="TH Sarabun New" w:cs="TH Sarabun New" w:eastAsia="TH Sarabun New"/>
          <w:b w:val="0"/>
          <w:i w:val="0"/>
          <w:sz w:val="32"/>
          <w:szCs w:val="32"/>
        </w:rPr>
        <w:t xml:space="preserve"> (สำนักงานคณะกรรมการส่งเสริมการลงทุน, 2565; International Energy Agency, 2023)</w:t>
      </w:r>
    </w:p>
    <w:p>
      <w:pPr>
        <w:spacing w:line="240" w:lineRule="auto" w:after="0"/>
        <w:ind w:firstLine="720"/>
        <w:jc w:val="left"/>
      </w:pPr>
      <w:r>
        <w:rPr>
          <w:rFonts w:ascii="TH Sarabun New" w:hAnsi="TH Sarabun New" w:cs="TH Sarabun New" w:eastAsia="TH Sarabun New"/>
          <w:b w:val="0"/>
          <w:i w:val="0"/>
          <w:sz w:val="32"/>
          <w:szCs w:val="32"/>
        </w:rPr>
        <w:t>ปัจจัยภายนอกประเทศที่สำคัญ ได้แก่ แนวโน้มการกีดกันทางการค้าด้านสิ่งแวดล้อม เช่น มาตรการปรับคาร์บอนก่อนข้ามพรมแดน (CBAM) ที่กดดันให้ภาคการผลิตและการขนส่งของไทยต้องลดการปล่อยคาร์บอน การพัฒนาเทคโนโลยียานยนต์ไฟฟ้าและระบบอัตโนมัติที่รวดเร็ว ตลอดจนการแข่งขันด้านความน่าอยู่ของเมืองเพื่อดึงดูดการลงทุนและบุคลากรที่มีทักษะสูง ปัจจัยเหล่านี้ทำให้การลงทุนในระบบขนส่งสาธารณะที่สะอาดและบูรณาการไม่ใช่เพียงทางเลือก แต่เป็นความจำเป็นเชิงยุทธศาสตร์ต่อขีดความสามารถในการแข่งขันของประเทศในระยะยาว</w:t>
      </w:r>
    </w:p>
    <w:p>
      <w:pPr>
        <w:keepNext/>
        <w:spacing w:before="200" w:after="80" w:line="240" w:lineRule="auto"/>
      </w:pPr>
      <w:r>
        <w:rPr>
          <w:rFonts w:ascii="TH Sarabun New" w:hAnsi="TH Sarabun New" w:cs="TH Sarabun New" w:eastAsia="TH Sarabun New"/>
          <w:b/>
          <w:i w:val="0"/>
          <w:color w:val="1F3D6E"/>
          <w:sz w:val="32"/>
          <w:szCs w:val="32"/>
        </w:rPr>
        <w:t>2.5 การคาดการณ์ความต้องการในอนาคต (Potential Demand)</w:t>
      </w:r>
    </w:p>
    <w:p>
      <w:pPr>
        <w:spacing w:line="240" w:lineRule="auto" w:after="0"/>
        <w:ind w:firstLine="720"/>
        <w:jc w:val="left"/>
      </w:pPr>
      <w:r>
        <w:rPr>
          <w:rFonts w:ascii="TH Sarabun New" w:hAnsi="TH Sarabun New" w:cs="TH Sarabun New" w:eastAsia="TH Sarabun New"/>
          <w:b w:val="0"/>
          <w:i w:val="0"/>
          <w:sz w:val="32"/>
          <w:szCs w:val="32"/>
        </w:rPr>
        <w:t>ความต้องการใช้ระบบขนส่งสาธารณะที่บูรณาการมีแนวโน้มเพิ่มขึ้นอย่างมีนัยสำคัญ จากปัจจัยสนับสนุนหลายประการ ได้แก่ การขยายโครงข่ายรถไฟฟ้าอย่างต่อเนื่องในเขตกรุงเทพมหานครและปริมณฑล การเติบโตของแรงงานในนิคมอุตสาหกรรมบางปูและบางพลีที่มีรูปแบบการทำงานเป็นกะ (Shift Work) รวมกว่า 100,000 คน ซึ่งมีความต้องการเดินทางตลอดทั้งวัน การเปลี่ยนผ่านสู่ยานยนต์ไฟฟ้าที่ลดต้นทุนการให้บริการขนส่งเสริม (Feeder EV) และความตื่นตัวของประชาชนต่อปัญหามลพิษและค่าครองชีพ</w:t>
      </w:r>
    </w:p>
    <w:p>
      <w:pPr>
        <w:spacing w:line="240" w:lineRule="auto" w:after="0"/>
        <w:ind w:firstLine="720"/>
        <w:jc w:val="left"/>
      </w:pPr>
      <w:r>
        <w:rPr>
          <w:rFonts w:ascii="TH Sarabun New" w:hAnsi="TH Sarabun New" w:cs="TH Sarabun New" w:eastAsia="TH Sarabun New"/>
          <w:b w:val="0"/>
          <w:i w:val="0"/>
          <w:sz w:val="32"/>
          <w:szCs w:val="32"/>
        </w:rPr>
        <w:t>คณะผู้จัดทำประเมินว่า หากภาครัฐจัดให้มีระบบตั๋วร่วม แอปพลิเคชัน MaaS ระบบขนส่งเสริมที่สะดวก และมาตรการจูงใจทางเศรษฐศาสตร์อย่างครบวงจร จะสามารถดึงความต้องการแฝง (Latent Demand) ให้เปลี่ยนพฤติกรรมจากการใช้รถยนต์ส่วนบุคคลมาใช้ระบบขนส่งสาธารณะได้ อันสอดคล้องกับเป้าหมายการเพิ่มสัดส่วนการเดินทางด้วยระบบขนส่งสาธารณะในเขตกรุงเทพมหานครและปริมณฑลให้ถึงร้อยละ 20 ภายในปี พ.ศ. 2576 ซึ่งจะช่วยลดความสูญเสียทางเศรษฐกิจ ลดมลพิษ และเพิ่มความคุ้มค่าของการลงทุนโครงสร้างพื้นฐานที่มีอยู่</w:t>
      </w:r>
    </w:p>
    <w:p>
      <w:pPr>
        <w:spacing w:line="240" w:lineRule="auto" w:after="0"/>
        <w:ind w:firstLine="720"/>
        <w:jc w:val="left"/>
      </w:pPr>
      <w:r>
        <w:rPr>
          <w:rFonts w:ascii="TH Sarabun New" w:hAnsi="TH Sarabun New" w:cs="TH Sarabun New" w:eastAsia="TH Sarabun New"/>
          <w:b w:val="0"/>
          <w:i w:val="0"/>
          <w:sz w:val="32"/>
          <w:szCs w:val="32"/>
        </w:rPr>
        <w:t>คณะผู้จัดทำวิเคราะห์การคาดการณ์ความต้องการภายใต้ 3 สถานการณ์ ได้แก่ กรณีฐาน (ไม่ดำเนินการเพิ่มเติม) ที่สัดส่วนการเดินทางด้วยขนส่งสาธารณะแทบไม่เปลี่ยนแปลง กรณีปานกลาง (ดำเนินการบางมาตรการ) และกรณีบูรณาการเต็มรูปแบบตามข้อเสนอ ที่สามารถเพิ่มสัดส่วนเป็นร้อยละ 20 ภายในปี พ.ศ. 2576 ดังแสดงในภาพ การวิเคราะห์นี้สะท้อนว่าการดำเนินการแบบบูรณาการให้ผลลัพธ์ที่แตกต่างจากการปล่อยให้เป็นไปตามแนวโน้มเดิมอย่างมีนัยสำคัญ</w:t>
      </w:r>
    </w:p>
    <w:p>
      <w:pPr>
        <w:keepNext/>
        <w:spacing w:before="160" w:after="40"/>
        <w:jc w:val="center"/>
      </w:pPr>
      <w:r>
        <w:drawing>
          <wp:inline xmlns:a="http://schemas.openxmlformats.org/drawingml/2006/main" xmlns:pic="http://schemas.openxmlformats.org/drawingml/2006/picture">
            <wp:extent cx="5220000" cy="2807650"/>
            <wp:docPr id="5" name="Picture 5"/>
            <wp:cNvGraphicFramePr>
              <a:graphicFrameLocks noChangeAspect="1"/>
            </wp:cNvGraphicFramePr>
            <a:graphic>
              <a:graphicData uri="http://schemas.openxmlformats.org/drawingml/2006/picture">
                <pic:pic>
                  <pic:nvPicPr>
                    <pic:cNvPr id="0" name="fig-scenarios.png"/>
                    <pic:cNvPicPr/>
                  </pic:nvPicPr>
                  <pic:blipFill>
                    <a:blip r:embed="rId15"/>
                    <a:stretch>
                      <a:fillRect/>
                    </a:stretch>
                  </pic:blipFill>
                  <pic:spPr>
                    <a:xfrm>
                      <a:off x="0" y="0"/>
                      <a:ext cx="5220000" cy="2807650"/>
                    </a:xfrm>
                    <a:prstGeom prst="rect"/>
                  </pic:spPr>
                </pic:pic>
              </a:graphicData>
            </a:graphic>
          </wp:inline>
        </w:drawing>
      </w:r>
    </w:p>
    <w:p>
      <w:pPr>
        <w:spacing w:after="160" w:line="240" w:lineRule="auto"/>
        <w:jc w:val="center"/>
      </w:pPr>
      <w:r>
        <w:rPr>
          <w:rFonts w:ascii="TH Sarabun New" w:hAnsi="TH Sarabun New" w:cs="TH Sarabun New" w:eastAsia="TH Sarabun New"/>
          <w:b/>
          <w:i w:val="0"/>
          <w:sz w:val="30"/>
          <w:szCs w:val="30"/>
        </w:rPr>
        <w:t>ภาพที่ 2  การคาดการณ์สัดส่วนการเดินทางด้วยระบบขนส่งสาธารณะ 3 สถานการณ์</w:t>
      </w:r>
    </w:p>
    <w:p>
      <w:pPr>
        <w:keepNext/>
        <w:spacing w:before="360" w:after="200" w:line="240" w:lineRule="auto"/>
        <w:jc w:val="left"/>
      </w:pPr>
      <w:r>
        <w:rPr>
          <w:rFonts w:ascii="TH Sarabun New" w:hAnsi="TH Sarabun New" w:cs="TH Sarabun New" w:eastAsia="TH Sarabun New"/>
          <w:b/>
          <w:i w:val="0"/>
          <w:color w:val="1F3D6E"/>
          <w:sz w:val="36"/>
          <w:szCs w:val="36"/>
        </w:rPr>
        <w:t>3.  แนวทางแก้ปัญหา และ/หรือ การพัฒนา</w:t>
      </w:r>
    </w:p>
    <w:p>
      <w:pPr>
        <w:keepNext/>
        <w:spacing w:before="200" w:after="80" w:line="240" w:lineRule="auto"/>
      </w:pPr>
      <w:r>
        <w:rPr>
          <w:rFonts w:ascii="TH Sarabun New" w:hAnsi="TH Sarabun New" w:cs="TH Sarabun New" w:eastAsia="TH Sarabun New"/>
          <w:b/>
          <w:i w:val="0"/>
          <w:color w:val="1F3D6E"/>
          <w:sz w:val="32"/>
          <w:szCs w:val="32"/>
        </w:rPr>
        <w:t>3.1 การเชื่อมโยงผลการวิเคราะห์</w:t>
      </w:r>
    </w:p>
    <w:p>
      <w:pPr>
        <w:spacing w:line="240" w:lineRule="auto" w:after="0"/>
        <w:ind w:firstLine="720"/>
        <w:jc w:val="left"/>
      </w:pPr>
      <w:r>
        <w:rPr>
          <w:rFonts w:ascii="TH Sarabun New" w:hAnsi="TH Sarabun New" w:cs="TH Sarabun New" w:eastAsia="TH Sarabun New"/>
          <w:b w:val="0"/>
          <w:i w:val="0"/>
          <w:sz w:val="32"/>
          <w:szCs w:val="32"/>
        </w:rPr>
        <w:t>จากการวิเคราะห์สภาพปัญหาในอดีตถึงปัจจุบัน (หัวข้อ 1) ที่ชี้ว่าความล้มเหลวเกิดจากการดำเนินงานแบบแยกส่วนและขาดกรอบกฎหมาย ประกอบกับการคาดการณ์แนวโน้มและความต้องการในอนาคต (หัวข้อ 2) ที่ปัญหาจะรุนแรงขึ้นพร้อมกับความต้องการระบบขนส่งสาธารณะที่เพิ่มขึ้น คณะผู้จัดทำจึงเห็นว่าการแก้ปัญหาต้องเป็นการบูรณาการเชิงระบบที่ดำเนินการหลายมิติพร้อมกัน ภายใต้กรอบกฎหมายใหม่</w:t>
      </w:r>
    </w:p>
    <w:p>
      <w:pPr>
        <w:spacing w:line="240" w:lineRule="auto" w:after="0"/>
        <w:ind w:firstLine="720"/>
        <w:jc w:val="left"/>
      </w:pPr>
      <w:r>
        <w:rPr>
          <w:rFonts w:ascii="TH Sarabun New" w:hAnsi="TH Sarabun New" w:cs="TH Sarabun New" w:eastAsia="TH Sarabun New"/>
          <w:b w:val="0"/>
          <w:i w:val="0"/>
          <w:sz w:val="32"/>
          <w:szCs w:val="32"/>
        </w:rPr>
        <w:t>การเชื่อมโยงนี้สะท้อนหลักการสำคัญว่า ปัญหาการคมนาคมในเขตเมืองเป็นปัญหาเชิงระบบที่มีความสัมพันธ์เชื่อมโยงกัน (Interconnected) การแก้ปัญหาเฉพาะจุดจึงมักก่อให้เกิดผลข้างเคียงหรือเพียงย้ายปัญหาไปที่อื่น เช่น การเพิ่มถนนอาจดึงดูดให้มีรถยนต์มากขึ้น (Induced Demand) ดังนั้น แนวทางที่คณะผู้จัดทำเสนอจึงยึดหลักการคิดเชิงระบบ (Systems Thinking) ที่มองภาพรวมและออกแบบการแทรกแซงหลายจุดให้เสริมแรงซึ่งกันและกัน เพื่อสร้างการเปลี่ยนแปลงที่ยั่งยืน</w:t>
      </w:r>
    </w:p>
    <w:p>
      <w:pPr>
        <w:keepNext/>
        <w:spacing w:before="200" w:after="80" w:line="240" w:lineRule="auto"/>
      </w:pPr>
      <w:r>
        <w:rPr>
          <w:rFonts w:ascii="TH Sarabun New" w:hAnsi="TH Sarabun New" w:cs="TH Sarabun New" w:eastAsia="TH Sarabun New"/>
          <w:b/>
          <w:i w:val="0"/>
          <w:color w:val="1F3D6E"/>
          <w:sz w:val="32"/>
          <w:szCs w:val="32"/>
        </w:rPr>
        <w:t>3.2 โจทย์หลักและความสอดคล้องเชิงยุทธศาสตร์</w:t>
      </w:r>
    </w:p>
    <w:p>
      <w:pPr>
        <w:spacing w:line="240" w:lineRule="auto" w:after="0"/>
        <w:ind w:firstLine="720"/>
        <w:jc w:val="left"/>
      </w:pPr>
      <w:r>
        <w:rPr>
          <w:rFonts w:ascii="TH Sarabun New" w:hAnsi="TH Sarabun New" w:cs="TH Sarabun New" w:eastAsia="TH Sarabun New"/>
          <w:b w:val="0"/>
          <w:i w:val="0"/>
          <w:sz w:val="32"/>
          <w:szCs w:val="32"/>
        </w:rPr>
        <w:t>โจทย์หลัก (เป้าหมายที่ต้องบรรลุภายใน 4-5 ปี): "บูรณาการระบบคมนาคมขนส่งสาธารณะให้เป็นระบบเดียวที่ไร้รอยต่อ เพิ่มสัดส่วนการเดินทางด้วยระบบขนส่งสาธารณะ และลดการพึ่งพารถยนต์ส่วนบุคคล โดยเริ่มพิสูจน์ผลที่จังหวัดสมุทรปราการก่อนขยายผลทั่วประเทศ" โจทย์หลักนี้สอดคล้องกับยุทธศาสตร์และนโยบายทุกระดับ ดังนี้</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ยุทธศาสตร์ชาติ 20 ปี (พ.ศ. 2561-2580) ด้านการสร้างความสามารถในการแข่งขัน และด้านการเติบโตที่เป็นมิตรกับสิ่งแวดล้อม</w:t>
      </w:r>
      <w:r>
        <w:rPr>
          <w:rFonts w:ascii="TH Sarabun New" w:hAnsi="TH Sarabun New" w:cs="TH Sarabun New" w:eastAsia="TH Sarabun New"/>
          <w:b w:val="0"/>
          <w:i w:val="0"/>
          <w:sz w:val="32"/>
          <w:szCs w:val="32"/>
        </w:rPr>
        <w:t xml:space="preserve"> (สำนักงานสภาพัฒนาการเศรษฐกิจและสังคมแห่งชาติ, 2561)</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แผนพัฒนาเศรษฐกิจและสังคมแห่งชาติ ฉบับที่ 13 หมุดหมายที่ 2 ด้านโครงสร้างพื้นฐานการคมนาคมขนส่ง และหมุดหมายที่ 11 ด้านเศรษฐกิจหมุนเวียนและสังคมคาร์บอนต่ำ</w:t>
      </w:r>
      <w:r>
        <w:rPr>
          <w:rFonts w:ascii="TH Sarabun New" w:hAnsi="TH Sarabun New" w:cs="TH Sarabun New" w:eastAsia="TH Sarabun New"/>
          <w:b w:val="0"/>
          <w:i w:val="0"/>
          <w:sz w:val="32"/>
          <w:szCs w:val="32"/>
        </w:rPr>
        <w:t xml:space="preserve"> (สำนักงานสภาพัฒนาการเศรษฐกิจและสังคมแห่งชาติ, 2565)</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นโยบาย Thailand 4.0 และการขับเคลื่อนเศรษฐกิจด้วยนวัตกรรมและข้อมูล รวมถึงนโยบายของกระทรวงคมนาคม "คมนาคมเพื่อโอกาสประเทศไทย" และ Quick Win ของกระทรวง</w:t>
      </w:r>
      <w:r>
        <w:rPr>
          <w:rFonts w:ascii="TH Sarabun New" w:hAnsi="TH Sarabun New"/>
          <w:sz w:val="32"/>
          <w:rFonts w:ascii="TH Sarabun New" w:hAnsi="TH Sarabun New" w:cs="TH Sarabun New" w:eastAsia="TH Sarabun New"/>
          <w:sz w:val="32"/>
          <w:szCs w:val="32"/>
        </w:rPr>
        <w:t xml:space="preserve"> (กระทรวงคมนาคม, 2567)</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พระราชบัญญัติระบบตั๋วร่วม พ.ศ. 2568 (ราชกิจจานุเบกษา เล่ม 142 ตอนที่ 88 ก วันที่ 27 ธันวาคม 2568) เป็นกรอบกฎหมายรองรับการบูรณาการ</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เป้าหมาย Net-Zero 2065 ภายใต้กรอบ COP26 และนโยบาย 30@30 ในการเปลี่ยนผ่านสู่ยานยนต์ไฟฟ้า</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เป้าหมายการพัฒนาที่ยั่งยืนแห่งสหประชาชาติ (SDGs) โดยเฉพาะ SDG 11 (เมืองและชุมชนที่ยั่งยืน) และ SDG 13 (การรับมือการเปลี่ยนแปลงสภาพภูมิอากาศ)</w:t>
      </w:r>
      <w:r>
        <w:rPr>
          <w:rFonts w:ascii="TH Sarabun New" w:hAnsi="TH Sarabun New" w:cs="TH Sarabun New" w:eastAsia="TH Sarabun New"/>
          <w:b w:val="0"/>
          <w:i w:val="0"/>
          <w:sz w:val="32"/>
          <w:szCs w:val="32"/>
        </w:rPr>
        <w:t xml:space="preserve"> (United Nations, 2015)</w:t>
      </w:r>
    </w:p>
    <w:p>
      <w:pPr>
        <w:spacing w:line="240" w:lineRule="auto" w:after="0"/>
        <w:ind w:firstLine="720"/>
        <w:jc w:val="left"/>
      </w:pPr>
      <w:r>
        <w:rPr>
          <w:rFonts w:ascii="TH Sarabun New" w:hAnsi="TH Sarabun New" w:cs="TH Sarabun New" w:eastAsia="TH Sarabun New"/>
          <w:b w:val="0"/>
          <w:i w:val="0"/>
          <w:sz w:val="32"/>
          <w:szCs w:val="32"/>
        </w:rPr>
        <w:t>ความสอดคล้องของโจทย์หลักกับยุทธศาสตร์และนโยบายระดับชาติสามารถสรุปเชื่อมโยงได้ดังตาราง</w:t>
      </w:r>
    </w:p>
    <w:p>
      <w:pPr>
        <w:keepNext/>
        <w:spacing w:before="200" w:after="40" w:line="240" w:lineRule="auto"/>
        <w:jc w:val="center"/>
      </w:pPr>
      <w:r>
        <w:rPr>
          <w:rFonts w:ascii="TH Sarabun New" w:hAnsi="TH Sarabun New" w:cs="TH Sarabun New" w:eastAsia="TH Sarabun New"/>
          <w:b/>
          <w:i w:val="0"/>
          <w:sz w:val="30"/>
          <w:szCs w:val="30"/>
        </w:rPr>
        <w:t>ตารางที่ 5  ความสอดคล้องของโจทย์หลักกับยุทธศาสตร์และนโยบายระดับชาติ</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2835"/>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ยุทธศาสตร์/นโยบาย</w:t>
            </w:r>
          </w:p>
        </w:tc>
        <w:tc>
          <w:tcPr>
            <w:tcW w:type="dxa" w:w="5386"/>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ความสอดคล้องกับข้อเสนอ (โจทย์หลัก)</w:t>
            </w:r>
          </w:p>
        </w:tc>
      </w:tr>
      <w:tr>
        <w:trPr>
          <w:cantSplit/>
        </w:trPr>
        <w:tc>
          <w:tcPr>
            <w:tcW w:type="dxa" w:w="2835"/>
            <w:vAlign w:val="top"/>
          </w:tcPr>
          <w:p>
            <w:pPr>
              <w:spacing w:after="0" w:line="240" w:lineRule="auto"/>
              <w:jc w:val="left"/>
            </w:pPr>
            <w:r/>
            <w:r>
              <w:rPr>
                <w:rFonts w:ascii="TH Sarabun New" w:hAnsi="TH Sarabun New" w:cs="TH Sarabun New" w:eastAsia="TH Sarabun New"/>
                <w:b w:val="0"/>
                <w:i w:val="0"/>
                <w:sz w:val="26"/>
                <w:szCs w:val="26"/>
              </w:rPr>
              <w:t>ยุทธศาสตร์ชาติ 20 ปี (พ.ศ. 2561-2580)</w:t>
            </w:r>
          </w:p>
        </w:tc>
        <w:tc>
          <w:tcPr>
            <w:tcW w:type="dxa" w:w="5386"/>
            <w:vAlign w:val="top"/>
          </w:tcPr>
          <w:p>
            <w:pPr>
              <w:spacing w:after="0" w:line="240" w:lineRule="auto"/>
              <w:jc w:val="left"/>
            </w:pPr>
            <w:r/>
            <w:r>
              <w:rPr>
                <w:rFonts w:ascii="TH Sarabun New" w:hAnsi="TH Sarabun New" w:cs="TH Sarabun New" w:eastAsia="TH Sarabun New"/>
                <w:b w:val="0"/>
                <w:i w:val="0"/>
                <w:sz w:val="26"/>
                <w:szCs w:val="26"/>
              </w:rPr>
              <w:t>ด้านการสร้างความสามารถในการแข่งขัน และด้านการเติบโตที่เป็นมิตรกับสิ่งแวดล้อม</w:t>
            </w:r>
          </w:p>
        </w:tc>
      </w:tr>
      <w:tr>
        <w:trPr>
          <w:cantSplit/>
        </w:trPr>
        <w:tc>
          <w:tcPr>
            <w:tcW w:type="dxa" w:w="2835"/>
            <w:vAlign w:val="top"/>
          </w:tcPr>
          <w:p>
            <w:pPr>
              <w:spacing w:after="0" w:line="240" w:lineRule="auto"/>
              <w:jc w:val="left"/>
            </w:pPr>
            <w:r/>
            <w:r>
              <w:rPr>
                <w:rFonts w:ascii="TH Sarabun New" w:hAnsi="TH Sarabun New" w:cs="TH Sarabun New" w:eastAsia="TH Sarabun New"/>
                <w:b w:val="0"/>
                <w:i w:val="0"/>
                <w:sz w:val="26"/>
                <w:szCs w:val="26"/>
              </w:rPr>
              <w:t>แผนพัฒนาฯ ฉบับที่ 13</w:t>
            </w:r>
          </w:p>
        </w:tc>
        <w:tc>
          <w:tcPr>
            <w:tcW w:type="dxa" w:w="5386"/>
            <w:vAlign w:val="top"/>
          </w:tcPr>
          <w:p>
            <w:pPr>
              <w:spacing w:after="0" w:line="240" w:lineRule="auto"/>
              <w:jc w:val="left"/>
            </w:pPr>
            <w:r/>
            <w:r>
              <w:rPr>
                <w:rFonts w:ascii="TH Sarabun New" w:hAnsi="TH Sarabun New" w:cs="TH Sarabun New" w:eastAsia="TH Sarabun New"/>
                <w:b w:val="0"/>
                <w:i w:val="0"/>
                <w:sz w:val="26"/>
                <w:szCs w:val="26"/>
              </w:rPr>
              <w:t>หมุดหมายที่ 2 โครงสร้างพื้นฐานคมนาคม และหมุดหมายที่ 11 สังคมคาร์บอนต่ำ</w:t>
            </w:r>
          </w:p>
        </w:tc>
      </w:tr>
      <w:tr>
        <w:trPr>
          <w:cantSplit/>
        </w:trPr>
        <w:tc>
          <w:tcPr>
            <w:tcW w:type="dxa" w:w="2835"/>
            <w:vAlign w:val="top"/>
          </w:tcPr>
          <w:p>
            <w:pPr>
              <w:spacing w:after="0" w:line="240" w:lineRule="auto"/>
              <w:jc w:val="left"/>
            </w:pPr>
            <w:r/>
            <w:r>
              <w:rPr>
                <w:rFonts w:ascii="TH Sarabun New" w:hAnsi="TH Sarabun New" w:cs="TH Sarabun New" w:eastAsia="TH Sarabun New"/>
                <w:b w:val="0"/>
                <w:i w:val="0"/>
                <w:sz w:val="26"/>
                <w:szCs w:val="26"/>
              </w:rPr>
              <w:t>นโยบาย Thailand 4.0</w:t>
            </w:r>
          </w:p>
        </w:tc>
        <w:tc>
          <w:tcPr>
            <w:tcW w:type="dxa" w:w="5386"/>
            <w:vAlign w:val="top"/>
          </w:tcPr>
          <w:p>
            <w:pPr>
              <w:spacing w:after="0" w:line="240" w:lineRule="auto"/>
              <w:jc w:val="left"/>
            </w:pPr>
            <w:r/>
            <w:r>
              <w:rPr>
                <w:rFonts w:ascii="TH Sarabun New" w:hAnsi="TH Sarabun New" w:cs="TH Sarabun New" w:eastAsia="TH Sarabun New"/>
                <w:b w:val="0"/>
                <w:i w:val="0"/>
                <w:sz w:val="26"/>
                <w:szCs w:val="26"/>
              </w:rPr>
              <w:t>ขับเคลื่อนเศรษฐกิจด้วยนวัตกรรมและข้อมูล · เมืองอัจฉริยะ (Smart City)</w:t>
            </w:r>
          </w:p>
        </w:tc>
      </w:tr>
      <w:tr>
        <w:trPr>
          <w:cantSplit/>
        </w:trPr>
        <w:tc>
          <w:tcPr>
            <w:tcW w:type="dxa" w:w="2835"/>
            <w:vAlign w:val="top"/>
          </w:tcPr>
          <w:p>
            <w:pPr>
              <w:spacing w:after="0" w:line="240" w:lineRule="auto"/>
              <w:jc w:val="left"/>
            </w:pPr>
            <w:r/>
            <w:r>
              <w:rPr>
                <w:rFonts w:ascii="TH Sarabun New" w:hAnsi="TH Sarabun New" w:cs="TH Sarabun New" w:eastAsia="TH Sarabun New"/>
                <w:b w:val="0"/>
                <w:i w:val="0"/>
                <w:sz w:val="26"/>
                <w:szCs w:val="26"/>
              </w:rPr>
              <w:t>พ.ร.บ. การบริหารจัดการระบบตั๋วร่วม พ.ศ. 2568</w:t>
            </w:r>
          </w:p>
        </w:tc>
        <w:tc>
          <w:tcPr>
            <w:tcW w:type="dxa" w:w="5386"/>
            <w:vAlign w:val="top"/>
          </w:tcPr>
          <w:p>
            <w:pPr>
              <w:spacing w:after="0" w:line="240" w:lineRule="auto"/>
              <w:jc w:val="left"/>
            </w:pPr>
            <w:r/>
            <w:r>
              <w:rPr>
                <w:rFonts w:ascii="TH Sarabun New" w:hAnsi="TH Sarabun New" w:cs="TH Sarabun New" w:eastAsia="TH Sarabun New"/>
                <w:b w:val="0"/>
                <w:i w:val="0"/>
                <w:sz w:val="26"/>
                <w:szCs w:val="26"/>
              </w:rPr>
              <w:t>กรอบกฎหมายรองรับการบูรณาการระบบตั๋วร่วมและหน่วยงานกลาง</w:t>
            </w:r>
          </w:p>
        </w:tc>
      </w:tr>
      <w:tr>
        <w:trPr>
          <w:cantSplit/>
        </w:trPr>
        <w:tc>
          <w:tcPr>
            <w:tcW w:type="dxa" w:w="2835"/>
            <w:vAlign w:val="top"/>
          </w:tcPr>
          <w:p>
            <w:pPr>
              <w:spacing w:after="0" w:line="240" w:lineRule="auto"/>
              <w:jc w:val="left"/>
            </w:pPr>
            <w:r/>
            <w:r>
              <w:rPr>
                <w:rFonts w:ascii="TH Sarabun New" w:hAnsi="TH Sarabun New" w:cs="TH Sarabun New" w:eastAsia="TH Sarabun New"/>
                <w:b w:val="0"/>
                <w:i w:val="0"/>
                <w:sz w:val="26"/>
                <w:szCs w:val="26"/>
              </w:rPr>
              <w:t>Net-Zero 2065 / นโยบาย 30@30</w:t>
            </w:r>
          </w:p>
        </w:tc>
        <w:tc>
          <w:tcPr>
            <w:tcW w:type="dxa" w:w="5386"/>
            <w:vAlign w:val="top"/>
          </w:tcPr>
          <w:p>
            <w:pPr>
              <w:spacing w:after="0" w:line="240" w:lineRule="auto"/>
              <w:jc w:val="left"/>
            </w:pPr>
            <w:r/>
            <w:r>
              <w:rPr>
                <w:rFonts w:ascii="TH Sarabun New" w:hAnsi="TH Sarabun New" w:cs="TH Sarabun New" w:eastAsia="TH Sarabun New"/>
                <w:b w:val="0"/>
                <w:i w:val="0"/>
                <w:sz w:val="26"/>
                <w:szCs w:val="26"/>
              </w:rPr>
              <w:t>ลดการปล่อยคาร์บอนภาคขนส่ง และเปลี่ยนผ่านสู่ยานยนต์ไฟฟ้า</w:t>
            </w:r>
          </w:p>
        </w:tc>
      </w:tr>
      <w:tr>
        <w:trPr>
          <w:cantSplit/>
        </w:trPr>
        <w:tc>
          <w:tcPr>
            <w:tcW w:type="dxa" w:w="2835"/>
            <w:vAlign w:val="top"/>
          </w:tcPr>
          <w:p>
            <w:pPr>
              <w:spacing w:after="0" w:line="240" w:lineRule="auto"/>
              <w:jc w:val="left"/>
            </w:pPr>
            <w:r/>
            <w:r>
              <w:rPr>
                <w:rFonts w:ascii="TH Sarabun New" w:hAnsi="TH Sarabun New" w:cs="TH Sarabun New" w:eastAsia="TH Sarabun New"/>
                <w:b w:val="0"/>
                <w:i w:val="0"/>
                <w:sz w:val="26"/>
                <w:szCs w:val="26"/>
              </w:rPr>
              <w:t>เป้าหมาย SDGs ของสหประชาชาติ</w:t>
            </w:r>
          </w:p>
        </w:tc>
        <w:tc>
          <w:tcPr>
            <w:tcW w:type="dxa" w:w="5386"/>
            <w:vAlign w:val="top"/>
          </w:tcPr>
          <w:p>
            <w:pPr>
              <w:spacing w:after="0" w:line="240" w:lineRule="auto"/>
              <w:jc w:val="left"/>
            </w:pPr>
            <w:r/>
            <w:r>
              <w:rPr>
                <w:rFonts w:ascii="TH Sarabun New" w:hAnsi="TH Sarabun New" w:cs="TH Sarabun New" w:eastAsia="TH Sarabun New"/>
                <w:b w:val="0"/>
                <w:i w:val="0"/>
                <w:sz w:val="26"/>
                <w:szCs w:val="26"/>
              </w:rPr>
              <w:t>SDG 11 เมืองและชุมชนยั่งยืน · SDG 13 การรับมือการเปลี่ยนแปลงสภาพภูมิอากาศ</w:t>
            </w:r>
          </w:p>
        </w:tc>
      </w:tr>
    </w:tbl>
    <w:p>
      <w:pPr>
        <w:spacing w:after="120"/>
      </w:pPr>
    </w:p>
    <w:p>
      <w:pPr>
        <w:keepNext/>
        <w:spacing w:before="200" w:after="80" w:line="240" w:lineRule="auto"/>
      </w:pPr>
      <w:r>
        <w:rPr>
          <w:rFonts w:ascii="TH Sarabun New" w:hAnsi="TH Sarabun New" w:cs="TH Sarabun New" w:eastAsia="TH Sarabun New"/>
          <w:b/>
          <w:i w:val="0"/>
          <w:color w:val="1F3D6E"/>
          <w:sz w:val="32"/>
          <w:szCs w:val="32"/>
        </w:rPr>
        <w:t>3.3 โจทย์รอง: กรอบ 4 เสาหลักของการบูรณาการคมนาคม</w:t>
      </w:r>
    </w:p>
    <w:p>
      <w:pPr>
        <w:spacing w:line="240" w:lineRule="auto" w:after="0"/>
        <w:ind w:firstLine="720"/>
        <w:jc w:val="left"/>
      </w:pPr>
      <w:r>
        <w:rPr>
          <w:rFonts w:ascii="TH Sarabun New" w:hAnsi="TH Sarabun New" w:cs="TH Sarabun New" w:eastAsia="TH Sarabun New"/>
          <w:b w:val="0"/>
          <w:i w:val="0"/>
          <w:sz w:val="32"/>
          <w:szCs w:val="32"/>
        </w:rPr>
        <w:t>คณะผู้จัดทำแตกโจทย์หลักออกเป็นโจทย์รอง 4 มิติที่เสริมส่งกันอย่างเป็นระบบ เรียกว่า "4 เสาหลัก" ซึ่งต้องดำเนินการพร้อมกันจึงจะเกิดผลกระทบเชิงระบบ (อ้างอิงกรอบ Sochor MaaS Levels, 2018 และบทเรียนของ Transport for London ที่ควบคุมทั้ง 4 มิติในหน่วยงานเดียว) ภาพรวมของทั้ง 4 เสาหลักสรุปได้ดังตาราง</w:t>
      </w:r>
    </w:p>
    <w:p>
      <w:pPr>
        <w:keepNext/>
        <w:spacing w:before="200" w:after="40" w:line="240" w:lineRule="auto"/>
        <w:jc w:val="center"/>
      </w:pPr>
      <w:r>
        <w:rPr>
          <w:rFonts w:ascii="TH Sarabun New" w:hAnsi="TH Sarabun New" w:cs="TH Sarabun New" w:eastAsia="TH Sarabun New"/>
          <w:b/>
          <w:i w:val="0"/>
          <w:sz w:val="30"/>
          <w:szCs w:val="30"/>
        </w:rPr>
        <w:t>ตารางที่ 6  กรอบ 4 เสาหลักของการบูรณาการคมนาคม</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1814"/>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เสาหลัก</w:t>
            </w:r>
          </w:p>
        </w:tc>
        <w:tc>
          <w:tcPr>
            <w:tcW w:type="dxa" w:w="3855"/>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แนวทางและเครื่องมือสนับสนุน</w:t>
            </w:r>
          </w:p>
        </w:tc>
        <w:tc>
          <w:tcPr>
            <w:tcW w:type="dxa" w:w="255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ตัวชี้วัด/ผลที่คาดหวัง</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1) ตั๋วร่วม</w:t>
              <w:br/>
              <w:t>(Foundation)</w:t>
            </w:r>
          </w:p>
        </w:tc>
        <w:tc>
          <w:tcPr>
            <w:tcW w:type="dxa" w:w="3855"/>
            <w:vAlign w:val="top"/>
          </w:tcPr>
          <w:p>
            <w:pPr>
              <w:spacing w:after="0" w:line="240" w:lineRule="auto"/>
              <w:jc w:val="left"/>
            </w:pPr>
            <w:r/>
            <w:r>
              <w:rPr>
                <w:rFonts w:ascii="TH Sarabun New" w:hAnsi="TH Sarabun New" w:cs="TH Sarabun New" w:eastAsia="TH Sarabun New"/>
                <w:b w:val="0"/>
                <w:i w:val="0"/>
                <w:sz w:val="26"/>
                <w:szCs w:val="26"/>
              </w:rPr>
              <w:t>Account-Based Ticketing (ABT) + EMV Open-loop · Visa/Mastercard · QR PromptPay · Fare Capping · คงบัตร Rabbit/MRT Plus คู่กัน 5 ปี</w:t>
            </w:r>
          </w:p>
        </w:tc>
        <w:tc>
          <w:tcPr>
            <w:tcW w:type="dxa" w:w="2551"/>
            <w:vAlign w:val="top"/>
          </w:tcPr>
          <w:p>
            <w:pPr>
              <w:spacing w:after="0" w:line="240" w:lineRule="auto"/>
              <w:jc w:val="left"/>
            </w:pPr>
            <w:r>
              <w:t>แตะเดียวทุกระบบ · ลดต้นทุนรับชำระจาก 15% เหลือ 9% ของรายได้ · trips ผ่าน EMV ≥ 80% (เทียบ TfL)</w:t>
            </w:r>
            <w:r>
              <w:rPr>
                <w:rFonts w:ascii="TH Sarabun New" w:hAnsi="TH Sarabun New" w:cs="TH Sarabun New" w:eastAsia="TH Sarabun New"/>
                <w:b w:val="0"/>
                <w:i w:val="0"/>
                <w:sz w:val="26"/>
                <w:szCs w:val="26"/>
              </w:rPr>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2) MaaS App</w:t>
              <w:br/>
              <w:t>(Service)</w:t>
            </w:r>
          </w:p>
        </w:tc>
        <w:tc>
          <w:tcPr>
            <w:tcW w:type="dxa" w:w="3855"/>
            <w:vAlign w:val="top"/>
          </w:tcPr>
          <w:p>
            <w:pPr>
              <w:spacing w:after="0" w:line="240" w:lineRule="auto"/>
              <w:jc w:val="left"/>
            </w:pPr>
            <w:r/>
            <w:r>
              <w:rPr>
                <w:rFonts w:ascii="TH Sarabun New" w:hAnsi="TH Sarabun New" w:cs="TH Sarabun New" w:eastAsia="TH Sarabun New"/>
                <w:b w:val="0"/>
                <w:i w:val="0"/>
                <w:sz w:val="26"/>
                <w:szCs w:val="26"/>
              </w:rPr>
              <w:t>แอปเดียวทุกโหมด · โมเดล Public-led · Open API (TOMP-API + GBFS) · เชื่อม BTS+ARL+รถเมล์+เรือ+Feeder EV+Grab</w:t>
            </w:r>
          </w:p>
        </w:tc>
        <w:tc>
          <w:tcPr>
            <w:tcW w:type="dxa" w:w="2551"/>
            <w:vAlign w:val="top"/>
          </w:tcPr>
          <w:p>
            <w:pPr>
              <w:spacing w:after="0" w:line="240" w:lineRule="auto"/>
              <w:jc w:val="left"/>
            </w:pPr>
            <w:r/>
            <w:r>
              <w:rPr>
                <w:rFonts w:ascii="TH Sarabun New" w:hAnsi="TH Sarabun New" w:cs="TH Sarabun New" w:eastAsia="TH Sarabun New"/>
                <w:b w:val="0"/>
                <w:i w:val="0"/>
                <w:sz w:val="26"/>
                <w:szCs w:val="26"/>
              </w:rPr>
              <w:t>ผู้ใช้รายใหม่ +8-15% · NPS ผู้ใช้ +40%</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3) Complete Streets</w:t>
              <w:br/>
              <w:t>(Physical)</w:t>
            </w:r>
          </w:p>
        </w:tc>
        <w:tc>
          <w:tcPr>
            <w:tcW w:type="dxa" w:w="3855"/>
            <w:vAlign w:val="top"/>
          </w:tcPr>
          <w:p>
            <w:pPr>
              <w:spacing w:after="0" w:line="240" w:lineRule="auto"/>
              <w:jc w:val="left"/>
            </w:pPr>
            <w:r/>
            <w:r>
              <w:rPr>
                <w:rFonts w:ascii="TH Sarabun New" w:hAnsi="TH Sarabun New" w:cs="TH Sarabun New" w:eastAsia="TH Sarabun New"/>
                <w:b w:val="0"/>
                <w:i w:val="0"/>
                <w:sz w:val="26"/>
                <w:szCs w:val="26"/>
              </w:rPr>
              <w:t>Road Diet (4→3 เลน) · ทางเท้ากว้าง 3-4 ม. · เลนจักรยาน · Smart Intersection · Park &amp; Ride</w:t>
            </w:r>
          </w:p>
        </w:tc>
        <w:tc>
          <w:tcPr>
            <w:tcW w:type="dxa" w:w="2551"/>
            <w:vAlign w:val="top"/>
          </w:tcPr>
          <w:p>
            <w:pPr>
              <w:spacing w:after="0" w:line="240" w:lineRule="auto"/>
              <w:jc w:val="left"/>
            </w:pPr>
            <w:r/>
            <w:r>
              <w:rPr>
                <w:rFonts w:ascii="TH Sarabun New" w:hAnsi="TH Sarabun New" w:cs="TH Sarabun New" w:eastAsia="TH Sarabun New"/>
                <w:b w:val="0"/>
                <w:i w:val="0"/>
                <w:sz w:val="26"/>
                <w:szCs w:val="26"/>
              </w:rPr>
              <w:t>อุบัติเหตุ -19-47% · คนเดิน +200-400% · มลพิษ -25%</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4) มาตรการภาษี</w:t>
              <w:br/>
              <w:t>(Behavioral)</w:t>
            </w:r>
          </w:p>
        </w:tc>
        <w:tc>
          <w:tcPr>
            <w:tcW w:type="dxa" w:w="3855"/>
            <w:vAlign w:val="top"/>
          </w:tcPr>
          <w:p>
            <w:pPr>
              <w:spacing w:after="0" w:line="240" w:lineRule="auto"/>
              <w:jc w:val="left"/>
            </w:pPr>
            <w:r/>
            <w:r>
              <w:rPr>
                <w:rFonts w:ascii="TH Sarabun New" w:hAnsi="TH Sarabun New" w:cs="TH Sarabun New" w:eastAsia="TH Sarabun New"/>
                <w:b w:val="0"/>
                <w:i w:val="0"/>
                <w:sz w:val="26"/>
                <w:szCs w:val="26"/>
              </w:rPr>
              <w:t>ลดหย่อนภาษีผู้โดยสาร 15,000 บ./ปี · ภาษีรถแบบ Zone-based · ERP ใน CBD · Versement Mobilité</w:t>
            </w:r>
          </w:p>
        </w:tc>
        <w:tc>
          <w:tcPr>
            <w:tcW w:type="dxa" w:w="2551"/>
            <w:vAlign w:val="top"/>
          </w:tcPr>
          <w:p>
            <w:pPr>
              <w:spacing w:after="0" w:line="240" w:lineRule="auto"/>
              <w:jc w:val="left"/>
            </w:pPr>
            <w:r/>
            <w:r>
              <w:rPr>
                <w:rFonts w:ascii="TH Sarabun New" w:hAnsi="TH Sarabun New" w:cs="TH Sarabun New" w:eastAsia="TH Sarabun New"/>
                <w:b w:val="0"/>
                <w:i w:val="0"/>
                <w:sz w:val="26"/>
                <w:szCs w:val="26"/>
              </w:rPr>
              <w:t>ขนส่งสาธารณะ +15-20% · รถใน CBD -20-30% · รายได้ใหม่ 27-42 พันล้านบาท/ปี</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หลักการสำคัญคือทั้ง 4 เสาหลักต้องดำเนินการพร้อมกัน การแก้ปัญหาเฉพาะด้านใดด้านหนึ่งจะไม่สามารถสร้างการเปลี่ยนแปลงที่ยั่งยืนได้ ดังบทเรียนของ Whim Helsinki ที่ล้มเหลวเพราะมีเพียง MaaS App ขณะที่ Transport for London ประสบความสำเร็จเพราะควบคุมทั้ง 4 เสาในหน่วยงานเดียว รายละเอียดของแต่ละเสาหลักมีดังนี้</w:t>
      </w:r>
    </w:p>
    <w:p>
      <w:pPr>
        <w:keepNext/>
        <w:spacing w:before="160" w:after="40"/>
        <w:jc w:val="center"/>
      </w:pPr>
      <w:r>
        <w:drawing>
          <wp:inline xmlns:a="http://schemas.openxmlformats.org/drawingml/2006/main" xmlns:pic="http://schemas.openxmlformats.org/drawingml/2006/picture">
            <wp:extent cx="5400000" cy="3196336"/>
            <wp:docPr id="6" name="Picture 6"/>
            <wp:cNvGraphicFramePr>
              <a:graphicFrameLocks noChangeAspect="1"/>
            </wp:cNvGraphicFramePr>
            <a:graphic>
              <a:graphicData uri="http://schemas.openxmlformats.org/drawingml/2006/picture">
                <pic:pic>
                  <pic:nvPicPr>
                    <pic:cNvPr id="0" name="fig-pillars.png"/>
                    <pic:cNvPicPr/>
                  </pic:nvPicPr>
                  <pic:blipFill>
                    <a:blip r:embed="rId16"/>
                    <a:stretch>
                      <a:fillRect/>
                    </a:stretch>
                  </pic:blipFill>
                  <pic:spPr>
                    <a:xfrm>
                      <a:off x="0" y="0"/>
                      <a:ext cx="5400000" cy="3196336"/>
                    </a:xfrm>
                    <a:prstGeom prst="rect"/>
                  </pic:spPr>
                </pic:pic>
              </a:graphicData>
            </a:graphic>
          </wp:inline>
        </w:drawing>
      </w:r>
    </w:p>
    <w:p>
      <w:pPr>
        <w:spacing w:after="160" w:line="240" w:lineRule="auto"/>
        <w:jc w:val="center"/>
      </w:pPr>
      <w:r>
        <w:rPr>
          <w:rFonts w:ascii="TH Sarabun New" w:hAnsi="TH Sarabun New" w:cs="TH Sarabun New" w:eastAsia="TH Sarabun New"/>
          <w:b/>
          <w:i w:val="0"/>
          <w:sz w:val="30"/>
          <w:szCs w:val="30"/>
        </w:rPr>
        <w:t>ภาพที่ 3  กรอบแนวคิด 4 เสาหลักของการบูรณาการระบบคมนาคมขนส่ง</w:t>
      </w:r>
    </w:p>
    <w:p>
      <w:pPr>
        <w:keepNext/>
        <w:spacing w:before="200" w:after="80" w:line="240" w:lineRule="auto"/>
      </w:pPr>
      <w:r>
        <w:rPr>
          <w:rFonts w:ascii="TH Sarabun New" w:hAnsi="TH Sarabun New" w:cs="TH Sarabun New" w:eastAsia="TH Sarabun New"/>
          <w:b/>
          <w:i w:val="0"/>
          <w:color w:val="1F3D6E"/>
          <w:sz w:val="32"/>
          <w:szCs w:val="32"/>
        </w:rPr>
        <w:t>3.4 เสาหลักที่ 1: ระบบตั๋วร่วม (Common Ticketing) — รากฐานของการบูรณาการ</w:t>
      </w:r>
    </w:p>
    <w:p>
      <w:pPr>
        <w:spacing w:line="240" w:lineRule="auto" w:after="0"/>
        <w:ind w:firstLine="720"/>
        <w:jc w:val="left"/>
      </w:pPr>
      <w:r>
        <w:rPr>
          <w:rFonts w:ascii="TH Sarabun New" w:hAnsi="TH Sarabun New" w:cs="TH Sarabun New" w:eastAsia="TH Sarabun New"/>
          <w:b w:val="0"/>
          <w:i w:val="0"/>
          <w:sz w:val="32"/>
          <w:szCs w:val="32"/>
        </w:rPr>
        <w:t>ระบบตั๋วร่วมเป็นรากฐานสำคัญที่ทำให้การเดินทางข้ามระบบเป็นไปอย่างไร้รอยต่อ คณะผู้จัดทำเสนอให้ใช้ระบบบัญชีกลาง (Account-Based Ticketing: ABT) ร่วมกับมาตรฐานการชำระเงินแบบเปิด (EMV Open-loop) ที่รองรับบัตรเครดิต/เดบิต Visa และ Mastercard ตลอดจน QR PromptPay พร้อมกลไกการคิดค่าโดยสารแบบรวมเพดาน (Fare Capping) เพื่อให้ผู้โดยสารจ่ายไม่เกินอัตราที่กำหนดต่อวัน/สัปดาห์ และยกเว้นค่าแรกเข้าซ้ำซ้อนเมื่อเปลี่ยนระบบ ทั้งนี้ ให้คงบัตรเดิม (Rabbit และ MRT Plus) ใช้งานคู่ขนานกับระบบใหม่อย่างน้อย 5 ปี เพื่อลดแรงต้านจากผู้ใช้เดิม โดยมีเป้าหมายให้สัดส่วนการเดินทางที่ชำระผ่าน EMV/ABT ไม่น้อยกว่าร้อยละ 80 และลดต้นทุนการรับชำระเงินลงประมาณร้อยละ 70 เทียบเคียงผลสำเร็จของ Transport for London</w:t>
      </w:r>
    </w:p>
    <w:p>
      <w:pPr>
        <w:spacing w:line="240" w:lineRule="auto" w:after="0"/>
        <w:ind w:firstLine="720"/>
        <w:jc w:val="left"/>
      </w:pPr>
      <w:r>
        <w:rPr>
          <w:rFonts w:ascii="TH Sarabun New" w:hAnsi="TH Sarabun New" w:cs="TH Sarabun New" w:eastAsia="TH Sarabun New"/>
          <w:b w:val="0"/>
          <w:i w:val="0"/>
          <w:sz w:val="32"/>
          <w:szCs w:val="32"/>
        </w:rPr>
        <w:t>ในบริบทของประเทศไทย การดำเนินงานเสาหลักนี้ต้องอาศัยการเชื่อมการเปลี่ยนผ่านสู่ EMV ของรถไฟฟ้าสายสีเขียว (BTS) เข้ากับช่วงต่อสัญญาสัมปทานในปี พ.ศ. 2572 การกำหนดมาตรฐานกลางผ่าน NTCH และการต่อยอดจากโครงสร้างพื้นฐาน PromptPay ที่ประชาชนคุ้นเคย ทั้งนี้ ต้องออกแบบให้รองรับทั้งบัตรเครดิต/เดบิต EMV และ QR PromptPay เพื่อครอบคลุมประชาชนทุกกลุ่ม รวมถึงผู้ที่ไม่มีบัตรเครดิต โดยอาจออกบัตรเติมเงินแบบ Open-loop สำหรับกลุ่มเปราะบาง เพื่อมิให้เกิดความเหลื่อมล้ำในการเข้าถึงระบบขนส่ง</w:t>
      </w:r>
    </w:p>
    <w:p>
      <w:pPr>
        <w:keepNext/>
        <w:spacing w:before="200" w:after="80" w:line="240" w:lineRule="auto"/>
      </w:pPr>
      <w:r>
        <w:rPr>
          <w:rFonts w:ascii="TH Sarabun New" w:hAnsi="TH Sarabun New" w:cs="TH Sarabun New" w:eastAsia="TH Sarabun New"/>
          <w:b/>
          <w:i w:val="0"/>
          <w:color w:val="1F3D6E"/>
          <w:sz w:val="32"/>
          <w:szCs w:val="32"/>
        </w:rPr>
        <w:t>3.5 เสาหลักที่ 2: แอปพลิเคชัน MaaS (Mobility-as-a-Service)</w:t>
      </w:r>
    </w:p>
    <w:p>
      <w:pPr>
        <w:spacing w:line="240" w:lineRule="auto" w:after="0"/>
        <w:ind w:firstLine="720"/>
        <w:jc w:val="left"/>
      </w:pPr>
      <w:r>
        <w:rPr>
          <w:rFonts w:ascii="TH Sarabun New" w:hAnsi="TH Sarabun New" w:cs="TH Sarabun New" w:eastAsia="TH Sarabun New"/>
          <w:b w:val="0"/>
          <w:i w:val="0"/>
          <w:sz w:val="32"/>
          <w:szCs w:val="32"/>
        </w:rPr>
        <w:t>แอปพลิเคชัน MaaS เป็นช่องทางบริการที่รวมการวางแผน จอง และชำระค่าเดินทางทุกโหมดไว้ในแอปเดียว คณะผู้จัดทำเสนอให้ใช้รูปแบบที่ภาครัฐเป็นผู้นำ (Public-led) เพื่อหลีกเลี่ยงความเสี่ยงทางธุรกิจแบบ Whim Helsinki โดยพัฒนาบนสถาปัตยกรรมเปิด (Open API: TOMP-API และ GBFS) ที่เชื่อมต่อรถไฟฟ้า (BTS, MRT, ARL) รถเมล์ ขสมก. เรือ ระบบขนส่งเสริม (Feeder EV) และบริการเรียกรถของเอกชน (เช่น Grab) ตลอดจนเปิดให้ภาคเอกชนพัฒนาแอปต่อยอด (Third-party App) โดยมีเป้าหมายเพิ่มผู้ใช้ระบบขนส่งสาธารณะรายใหม่ร้อยละ 8-15 และยกระดับคะแนนความพึงพอใจ (NPS) ของผู้ใช้ขึ้นร้อยละ 40</w:t>
      </w:r>
    </w:p>
    <w:p>
      <w:pPr>
        <w:spacing w:line="240" w:lineRule="auto" w:after="0"/>
        <w:ind w:firstLine="720"/>
        <w:jc w:val="left"/>
      </w:pPr>
      <w:r>
        <w:rPr>
          <w:rFonts w:ascii="TH Sarabun New" w:hAnsi="TH Sarabun New" w:cs="TH Sarabun New" w:eastAsia="TH Sarabun New"/>
          <w:b w:val="0"/>
          <w:i w:val="0"/>
          <w:sz w:val="32"/>
          <w:szCs w:val="32"/>
        </w:rPr>
        <w:t>สำหรับบริบทไทย คณะผู้จัดทำเสนอให้สำนักงานนโยบายและแผนการขนส่งและจราจร (สนข.) หรือหน่วยงานในกำกับเป็นเจ้าของแพลตฟอร์ม MaaS กลาง และเปิด API ให้ภาคเอกชนพัฒนาบริการต่อยอดเพื่อสร้างระบบนิเวศนวัตกรรม โดยควรเริ่มจากการเชื่อมข้อมูลตารางเดินรถและข้อมูลเรียลไทม์ (GTFS/GTFS-RT) ของผู้ให้บริการหลักก่อน แล้วจึงขยายสู่การจองและการชำระเงินแบบบูรณาการ การมีแพลตฟอร์มที่ภาครัฐเป็นเจ้าของยังช่วยให้สามารถนำข้อมูลการเดินทาง (ภายใต้กรอบ PDPA) มาใช้วางแผนนโยบายและปรับปรุงบริการได้อย่างต่อเนื่อง</w:t>
      </w:r>
    </w:p>
    <w:p>
      <w:pPr>
        <w:keepNext/>
        <w:spacing w:before="200" w:after="80" w:line="240" w:lineRule="auto"/>
      </w:pPr>
      <w:r>
        <w:rPr>
          <w:rFonts w:ascii="TH Sarabun New" w:hAnsi="TH Sarabun New" w:cs="TH Sarabun New" w:eastAsia="TH Sarabun New"/>
          <w:b/>
          <w:i w:val="0"/>
          <w:color w:val="1F3D6E"/>
          <w:sz w:val="32"/>
          <w:szCs w:val="32"/>
        </w:rPr>
        <w:t>3.6 เสาหลักที่ 3: โครงสร้างพื้นฐานสำหรับคนเดิน (Complete Streets)</w:t>
      </w:r>
    </w:p>
    <w:p>
      <w:pPr>
        <w:spacing w:line="240" w:lineRule="auto" w:after="0"/>
        <w:ind w:firstLine="720"/>
        <w:jc w:val="left"/>
      </w:pPr>
      <w:r>
        <w:rPr>
          <w:rFonts w:ascii="TH Sarabun New" w:hAnsi="TH Sarabun New" w:cs="TH Sarabun New" w:eastAsia="TH Sarabun New"/>
          <w:b w:val="0"/>
          <w:i w:val="0"/>
          <w:sz w:val="32"/>
          <w:szCs w:val="32"/>
        </w:rPr>
        <w:t>Complete Streets คือการออกแบบถนนให้รองรับผู้ใช้ทุกกลุ่มอย่างปลอดภัย ทั้งคนเดิน ผู้ใช้จักรยาน ผู้สูงอายุ และผู้พิการ ไม่ใช่เฉพาะรถยนต์ คณะผู้จัดทำเสนอแนวทาง Road Diet (ลดช่องจราจรจาก 4 เป็น 3 ช่อง) ขยายทางเท้าให้กว้าง 3-4 เมตร จัดทำเลนจักรยานเฉพาะ ติดตั้งระบบสัญญาณไฟจราจรอัจฉริยะ (Smart Intersection) และจัดจุดจอดแล้วจร (Park &amp; Ride) เพื่อสนับสนุนการเชื่อมต่อ First/Last Mile โดยมีเป้าหมายลดอุบัติเหตุร้อยละ 19-47 เพิ่มจำนวนผู้เดินเท้าร้อยละ 200-400 และลดมลพิษในพื้นที่ร้อยละ 25 เทียบเคียงผลของโครงการ Superblock ที่เมืองบาร์เซโลนาและการปรับปรุงพื้นที่ Times Square ในนครนิวยอร์ก</w:t>
      </w:r>
    </w:p>
    <w:p>
      <w:pPr>
        <w:spacing w:line="240" w:lineRule="auto" w:after="0"/>
        <w:ind w:firstLine="720"/>
        <w:jc w:val="left"/>
      </w:pPr>
      <w:r>
        <w:rPr>
          <w:rFonts w:ascii="TH Sarabun New" w:hAnsi="TH Sarabun New" w:cs="TH Sarabun New" w:eastAsia="TH Sarabun New"/>
          <w:b w:val="0"/>
          <w:i w:val="0"/>
          <w:sz w:val="32"/>
          <w:szCs w:val="32"/>
        </w:rPr>
        <w:t>ในการนำมาใช้ในพื้นที่นำร่อง คณะผู้จัดทำเสนอให้เริ่มที่ถนนสายหลักรอบสถานีขนส่งสำคัญในจังหวัดสมุทรปราการ เช่น บริเวณสถานีสำโรงและตลาดปากน้ำ ซึ่งมีผู้สัญจรหนาแน่น โดยออกแบบให้สอดคล้องกับสภาพภูมิอากาศของพื้นที่ลุ่มต่ำ เช่น การใช้พื้นผิวที่ระบายน้ำได้ดี (Permeable Pavement) และการจัดสวนซับน้ำ (Bioswale) เพื่อรองรับน้ำฝนและบรรเทาปัญหาน้ำท่วม ทั้งนี้ ความสำเร็จต้องอาศัยความร่วมมือขององค์การบริหารส่วนจังหวัดและเทศบาลในการออกแบบ ปรับปรุง และบำรุงรักษาอย่างต่อเนื่อง</w:t>
      </w:r>
    </w:p>
    <w:p>
      <w:pPr>
        <w:keepNext/>
        <w:spacing w:before="200" w:after="80" w:line="240" w:lineRule="auto"/>
      </w:pPr>
      <w:r>
        <w:rPr>
          <w:rFonts w:ascii="TH Sarabun New" w:hAnsi="TH Sarabun New" w:cs="TH Sarabun New" w:eastAsia="TH Sarabun New"/>
          <w:b/>
          <w:i w:val="0"/>
          <w:color w:val="1F3D6E"/>
          <w:sz w:val="32"/>
          <w:szCs w:val="32"/>
        </w:rPr>
        <w:t>3.7 เสาหลักที่ 4: มาตรการทางภาษีและเศรษฐศาสตร์ (Tax &amp; Economic Nudges)</w:t>
      </w:r>
    </w:p>
    <w:p>
      <w:pPr>
        <w:spacing w:line="240" w:lineRule="auto" w:after="0"/>
        <w:ind w:firstLine="720"/>
        <w:jc w:val="left"/>
      </w:pPr>
      <w:r>
        <w:rPr>
          <w:rFonts w:ascii="TH Sarabun New" w:hAnsi="TH Sarabun New" w:cs="TH Sarabun New" w:eastAsia="TH Sarabun New"/>
          <w:b w:val="0"/>
          <w:i w:val="0"/>
          <w:sz w:val="32"/>
          <w:szCs w:val="32"/>
        </w:rPr>
        <w:t>มาตรการทางภาษีและเศรษฐศาสตร์เป็นกลไกปรับพฤติกรรมการเดินทาง (Behavioral) ที่สำคัญ คณะผู้จัดทำเสนอชุดมาตรการ ได้แก่ การลดหย่อนภาษีสำหรับผู้ใช้ระบบขนส่งสาธารณะ (Commuter Tax Deduction) ในวงเงิน 15,000 บาทต่อปี การจัดเก็บภาษีรถยนต์แบบอิงพื้นที่ (Zone-based) การเก็บค่าผ่านทางอิเล็กทรอนิกส์ในเขตเมืองชั้นใน (Electronic Road Pricing: ERP) และค่าธรรมเนียมการขนส่งจากสถานประกอบการ (Versement Mobilité ตามแบบฝรั่งเศส) มาตรการเหล่านี้นอกจากจะจูงใจให้ประชาชนหันมาใช้ระบบขนส่งสาธารณะเพิ่มขึ้นร้อยละ 15-20 และลดปริมาณรถในเขตเมืองชั้นในร้อยละ 20-30 แล้ว ยังสร้างรายได้ใหม่เพื่อนำกลับมาลงทุนในระบบขนส่งสาธารณะได้อย่างยั่งยืน</w:t>
      </w:r>
      <w:r>
        <w:rPr>
          <w:rFonts w:ascii="TH Sarabun New" w:hAnsi="TH Sarabun New" w:cs="TH Sarabun New" w:eastAsia="TH Sarabun New"/>
          <w:b w:val="0"/>
          <w:i w:val="0"/>
          <w:sz w:val="32"/>
          <w:szCs w:val="32"/>
        </w:rPr>
        <w:t xml:space="preserve"> (Land Transport Authority of Singapore, 2022)</w:t>
      </w:r>
    </w:p>
    <w:p>
      <w:pPr>
        <w:spacing w:line="240" w:lineRule="auto" w:after="0"/>
        <w:ind w:firstLine="720"/>
        <w:jc w:val="left"/>
      </w:pPr>
      <w:r>
        <w:rPr>
          <w:rFonts w:ascii="TH Sarabun New" w:hAnsi="TH Sarabun New" w:cs="TH Sarabun New" w:eastAsia="TH Sarabun New"/>
          <w:b w:val="0"/>
          <w:i w:val="0"/>
          <w:sz w:val="32"/>
          <w:szCs w:val="32"/>
        </w:rPr>
        <w:t>การออกแบบมาตรการทางเศรษฐศาสตร์ในบริบทไทยต้องคำนึงถึงความเป็นธรรมและการยอมรับของประชาชนเป็นสำคัญ คณะผู้จัดทำเสนอให้เริ่มจากมาตรการเชิงบวก (Carrot) เช่น การลดหย่อนภาษีผู้โดยสาร ก่อนนำมาตรการเชิงควบคุม (Stick) เช่น ERP มาใช้ และควรนำรายได้ที่เกิดขึ้นกลับมาลงทุนในระบบขนส่งสาธารณะอย่างโปร่งใส (Ring-fencing) เพื่อสร้างความเชื่อมั่น นอกจากนี้ ควรมีมาตรการบรรเทาผลกระทบต่อกลุ่มผู้มีรายได้น้อยที่จำเป็นต้องใช้รถยนต์ เพื่อลดแรงต้านทางสังคมและสร้างความยั่งยืนทางการเมืองของนโยบาย</w:t>
      </w:r>
    </w:p>
    <w:p>
      <w:pPr>
        <w:keepNext/>
        <w:spacing w:before="200" w:after="80" w:line="240" w:lineRule="auto"/>
      </w:pPr>
      <w:r>
        <w:rPr>
          <w:rFonts w:ascii="TH Sarabun New" w:hAnsi="TH Sarabun New" w:cs="TH Sarabun New" w:eastAsia="TH Sarabun New"/>
          <w:b/>
          <w:i w:val="0"/>
          <w:color w:val="1F3D6E"/>
          <w:sz w:val="32"/>
          <w:szCs w:val="32"/>
        </w:rPr>
        <w:t>3.8 กลไกสนับสนุนการขับเคลื่อน 5 ด้าน (Value Chain)</w:t>
      </w:r>
    </w:p>
    <w:p>
      <w:pPr>
        <w:spacing w:line="240" w:lineRule="auto" w:after="0"/>
        <w:ind w:firstLine="720"/>
        <w:jc w:val="left"/>
      </w:pPr>
      <w:r>
        <w:rPr>
          <w:rFonts w:ascii="TH Sarabun New" w:hAnsi="TH Sarabun New" w:cs="TH Sarabun New" w:eastAsia="TH Sarabun New"/>
          <w:b w:val="0"/>
          <w:i w:val="0"/>
          <w:sz w:val="32"/>
          <w:szCs w:val="32"/>
        </w:rPr>
        <w:t>เพื่อให้ 4 เสาหลักเชื่อมโยงกันอย่างเป็นระบบและนำไปปฏิบัติได้จริง คณะผู้จัดทำเสนอ 5 กลไกสนับสนุนที่ทำหน้าที่เป็นห่วงโซ่คุณค่า (Value Chain) ดังนี้</w:t>
      </w:r>
    </w:p>
    <w:p>
      <w:pPr>
        <w:spacing w:line="240" w:lineRule="auto" w:after="60"/>
        <w:ind w:left="850" w:hanging="454"/>
        <w:jc w:val="left"/>
      </w:pPr>
      <w:r>
        <w:rPr>
          <w:rFonts w:ascii="TH Sarabun New" w:hAnsi="TH Sarabun New" w:cs="TH Sarabun New" w:eastAsia="TH Sarabun New"/>
          <w:b/>
          <w:i w:val="0"/>
          <w:sz w:val="32"/>
          <w:szCs w:val="32"/>
        </w:rPr>
        <w:t xml:space="preserve">1)  </w:t>
      </w:r>
      <w:r>
        <w:rPr>
          <w:rFonts w:ascii="TH Sarabun New" w:hAnsi="TH Sarabun New" w:cs="TH Sarabun New" w:eastAsia="TH Sarabun New"/>
          <w:b w:val="0"/>
          <w:i w:val="0"/>
          <w:sz w:val="32"/>
          <w:szCs w:val="32"/>
        </w:rPr>
        <w:t>ด้านกฎหมายและกรอบสถาบัน: เร่งออกกฎหมายลำดับรองของพระราชบัญญัติระบบตั๋วร่วม พ.ศ. 2568 ภายใน 1 ปี กำหนดมาตรฐาน ABT และ Common Fare และจัดตั้งหน่วยงานกลางประมวลผลรายได้ระหว่างผู้ให้บริการ (National Transit Clearing House: NTCH) ภายใต้สัดส่วนภาครัฐ 51% + สถาบันการเงิน 30% + ผู้ให้บริการ 19%</w:t>
      </w:r>
    </w:p>
    <w:p>
      <w:pPr>
        <w:spacing w:line="240" w:lineRule="auto" w:after="60"/>
        <w:ind w:left="850" w:hanging="454"/>
        <w:jc w:val="left"/>
      </w:pPr>
      <w:r>
        <w:rPr>
          <w:rFonts w:ascii="TH Sarabun New" w:hAnsi="TH Sarabun New" w:cs="TH Sarabun New" w:eastAsia="TH Sarabun New"/>
          <w:b/>
          <w:i w:val="0"/>
          <w:sz w:val="32"/>
          <w:szCs w:val="32"/>
        </w:rPr>
        <w:t xml:space="preserve">2)  </w:t>
      </w:r>
      <w:r>
        <w:rPr>
          <w:rFonts w:ascii="TH Sarabun New" w:hAnsi="TH Sarabun New" w:cs="TH Sarabun New" w:eastAsia="TH Sarabun New"/>
          <w:b w:val="0"/>
          <w:i w:val="0"/>
          <w:sz w:val="32"/>
          <w:szCs w:val="32"/>
        </w:rPr>
        <w:t>ด้านบุคลากรและขีดความสามารถ: พัฒนาขีดความสามารถบุคลากรของกระทรวงคมนาคม สำนักงานนโยบายและแผนการขนส่งและจราจร (สนข.) และหน่วยงานในกำกับ ในการใช้ Open API, GTFS/GBFS, มาตรฐาน EMV และสถาปัตยกรรม MaaS ผ่านความร่วมมือกับสถาบันการศึกษาและหน่วยงานชั้นนำในต่างประเทศ</w:t>
      </w:r>
    </w:p>
    <w:p>
      <w:pPr>
        <w:spacing w:line="240" w:lineRule="auto" w:after="60"/>
        <w:ind w:left="850" w:hanging="454"/>
        <w:jc w:val="left"/>
      </w:pPr>
      <w:r>
        <w:rPr>
          <w:rFonts w:ascii="TH Sarabun New" w:hAnsi="TH Sarabun New" w:cs="TH Sarabun New" w:eastAsia="TH Sarabun New"/>
          <w:b/>
          <w:i w:val="0"/>
          <w:sz w:val="32"/>
          <w:szCs w:val="32"/>
        </w:rPr>
        <w:t xml:space="preserve">3)  </w:t>
      </w:r>
      <w:r>
        <w:rPr>
          <w:rFonts w:ascii="TH Sarabun New" w:hAnsi="TH Sarabun New" w:cs="TH Sarabun New" w:eastAsia="TH Sarabun New"/>
          <w:b w:val="0"/>
          <w:i w:val="0"/>
          <w:sz w:val="32"/>
          <w:szCs w:val="32"/>
        </w:rPr>
        <w:t>ด้านข้อมูลและแพลตฟอร์ม: จัดทำ MOT Data Catalog 2.0 บังคับให้ผู้ให้บริการส่งข้อมูล GTFS, GBFS และ GTFS-RT แบบเรียลไทม์ พร้อมพัฒนา API Gateway กลางที่ใช้ OAuth2 + ThaID เพื่อสนับสนุนการพัฒนาแอป MaaS และเปิดให้ภาคเอกชนพัฒนาแอปต่อยอด (Third-party App)</w:t>
      </w:r>
      <w:r>
        <w:rPr>
          <w:rFonts w:ascii="TH Sarabun New" w:hAnsi="TH Sarabun New" w:cs="TH Sarabun New" w:eastAsia="TH Sarabun New"/>
          <w:b w:val="0"/>
          <w:i w:val="0"/>
          <w:sz w:val="32"/>
          <w:szCs w:val="32"/>
        </w:rPr>
        <w:t xml:space="preserve"> (สำนักงานพัฒนาธุรกรรมทางอิเล็กทรอนิกส์, 2566)</w:t>
      </w:r>
    </w:p>
    <w:p>
      <w:pPr>
        <w:spacing w:line="240" w:lineRule="auto" w:after="60"/>
        <w:ind w:left="850" w:hanging="454"/>
        <w:jc w:val="left"/>
      </w:pPr>
      <w:r>
        <w:rPr>
          <w:rFonts w:ascii="TH Sarabun New" w:hAnsi="TH Sarabun New" w:cs="TH Sarabun New" w:eastAsia="TH Sarabun New"/>
          <w:b/>
          <w:i w:val="0"/>
          <w:sz w:val="32"/>
          <w:szCs w:val="32"/>
        </w:rPr>
        <w:t xml:space="preserve">4)  </w:t>
      </w:r>
      <w:r>
        <w:rPr>
          <w:rFonts w:ascii="TH Sarabun New" w:hAnsi="TH Sarabun New" w:cs="TH Sarabun New" w:eastAsia="TH Sarabun New"/>
          <w:b w:val="0"/>
          <w:i w:val="0"/>
          <w:sz w:val="32"/>
          <w:szCs w:val="32"/>
        </w:rPr>
        <w:t>ด้านการประสานงานข้ามกระทรวง: จัดตั้งคณะทำงานร่วม (Joint Task Force) ระหว่างกระทรวงคมนาคม กระทรวงการคลัง กรุงเทพมหานคร และองค์การบริหารส่วนจังหวัดสมุทรปราการ ภายใน 6 เดือน เพื่อออกแบบ 4 เสาหลักร่วมกันและบรรจุในแผนปฏิบัติราชการของแต่ละหน่วยงาน</w:t>
      </w:r>
    </w:p>
    <w:p>
      <w:pPr>
        <w:spacing w:line="240" w:lineRule="auto" w:after="60"/>
        <w:ind w:left="850" w:hanging="454"/>
        <w:jc w:val="left"/>
      </w:pPr>
      <w:r>
        <w:rPr>
          <w:rFonts w:ascii="TH Sarabun New" w:hAnsi="TH Sarabun New" w:cs="TH Sarabun New" w:eastAsia="TH Sarabun New"/>
          <w:b/>
          <w:i w:val="0"/>
          <w:sz w:val="32"/>
          <w:szCs w:val="32"/>
        </w:rPr>
        <w:t xml:space="preserve">5)  </w:t>
      </w:r>
      <w:r>
        <w:rPr>
          <w:rFonts w:ascii="TH Sarabun New" w:hAnsi="TH Sarabun New" w:cs="TH Sarabun New" w:eastAsia="TH Sarabun New"/>
          <w:b w:val="0"/>
          <w:i w:val="0"/>
          <w:sz w:val="32"/>
          <w:szCs w:val="32"/>
        </w:rPr>
        <w:t>ด้านธรรมาภิบาลและความปลอดภัยข้อมูล: จัดทำกรอบธรรมาภิบาลการใช้ข้อมูลการเดินทางในระบบ MaaS ให้สอดคล้องกับพระราชบัญญัติคุ้มครองข้อมูลส่วนบุคคล พ.ศ. 2562 (PDPA) และพระราชบัญญัติการรักษาความมั่นคงปลอดภัยไซเบอร์ พ.ศ. 2562 รวมถึงแต่งตั้งเจ้าหน้าที่คุ้มครองข้อมูลส่วนบุคคล (DPO) ระดับกระทรวง</w:t>
      </w:r>
    </w:p>
    <w:p>
      <w:pPr>
        <w:keepNext/>
        <w:spacing w:before="160" w:after="40"/>
        <w:jc w:val="center"/>
      </w:pPr>
      <w:r>
        <w:drawing>
          <wp:inline xmlns:a="http://schemas.openxmlformats.org/drawingml/2006/main" xmlns:pic="http://schemas.openxmlformats.org/drawingml/2006/picture">
            <wp:extent cx="5400000" cy="2964371"/>
            <wp:docPr id="7" name="Picture 7"/>
            <wp:cNvGraphicFramePr>
              <a:graphicFrameLocks noChangeAspect="1"/>
            </wp:cNvGraphicFramePr>
            <a:graphic>
              <a:graphicData uri="http://schemas.openxmlformats.org/drawingml/2006/picture">
                <pic:pic>
                  <pic:nvPicPr>
                    <pic:cNvPr id="0" name="fig-governance.png"/>
                    <pic:cNvPicPr/>
                  </pic:nvPicPr>
                  <pic:blipFill>
                    <a:blip r:embed="rId17"/>
                    <a:stretch>
                      <a:fillRect/>
                    </a:stretch>
                  </pic:blipFill>
                  <pic:spPr>
                    <a:xfrm>
                      <a:off x="0" y="0"/>
                      <a:ext cx="5400000" cy="2964371"/>
                    </a:xfrm>
                    <a:prstGeom prst="rect"/>
                  </pic:spPr>
                </pic:pic>
              </a:graphicData>
            </a:graphic>
          </wp:inline>
        </w:drawing>
      </w:r>
    </w:p>
    <w:p>
      <w:pPr>
        <w:spacing w:after="160" w:line="240" w:lineRule="auto"/>
        <w:jc w:val="center"/>
      </w:pPr>
      <w:r>
        <w:rPr>
          <w:rFonts w:ascii="TH Sarabun New" w:hAnsi="TH Sarabun New" w:cs="TH Sarabun New" w:eastAsia="TH Sarabun New"/>
          <w:b/>
          <w:i w:val="0"/>
          <w:sz w:val="30"/>
          <w:szCs w:val="30"/>
        </w:rPr>
        <w:t>ภาพที่ 4  โครงสร้างธรรมาภิบาลระบบตั๋วร่วมและหน่วยงานกลางประมวลผลรายได้ (NTCH)</w:t>
      </w:r>
    </w:p>
    <w:p>
      <w:pPr>
        <w:keepNext/>
        <w:spacing w:before="200" w:after="80" w:line="240" w:lineRule="auto"/>
      </w:pPr>
      <w:r>
        <w:rPr>
          <w:rFonts w:ascii="TH Sarabun New" w:hAnsi="TH Sarabun New" w:cs="TH Sarabun New" w:eastAsia="TH Sarabun New"/>
          <w:b/>
          <w:i w:val="0"/>
          <w:color w:val="1F3D6E"/>
          <w:sz w:val="32"/>
          <w:szCs w:val="32"/>
        </w:rPr>
        <w:t>3.9 รูปแบบธรรมาภิบาลและโครงสร้างองค์กร</w:t>
      </w:r>
    </w:p>
    <w:p>
      <w:pPr>
        <w:spacing w:line="240" w:lineRule="auto" w:after="0"/>
        <w:ind w:firstLine="720"/>
        <w:jc w:val="left"/>
      </w:pPr>
      <w:r>
        <w:rPr>
          <w:rFonts w:ascii="TH Sarabun New" w:hAnsi="TH Sarabun New" w:cs="TH Sarabun New" w:eastAsia="TH Sarabun New"/>
          <w:b w:val="0"/>
          <w:i w:val="0"/>
          <w:sz w:val="32"/>
          <w:szCs w:val="32"/>
        </w:rPr>
        <w:t>หัวใจของความสำเร็จในการบูรณาการคือการมีหน่วยงานกลางที่เป็นกลางและมีธรรมaภิบาลที่ดี คณะผู้จัดทำเสนอให้จัดตั้งคณะกรรมการนโยบายระบบตั๋วร่วม โดยมีปลัดกระทรวงคมนาคมเป็นประธาน ทำหน้าที่กำหนดนโยบายและกำกับดูแลในภาพรวม พร้อมหลักธรรมาภิบาลที่โปร่งใส และจัดตั้งหน่วยงานกลางประมวลผลรายได้ (National Transit Clearing House: NTCH) ในรูปแบบนิติบุคคลที่มีโครงสร้างผู้ถือหุ้นแบบสมดุล คือ ภาครัฐร้อยละ 51 สถาบันการเงินร้อยละ 30 และผู้ให้บริการขนส่งร้อยละ 19 เพื่อให้ภาครัฐคงอำนาจการกำกับ ขณะที่ภาคเอกชนมีส่วนร่วมและรับผิดชอบร่วมกัน โครงสร้างนี้ช่วยหลีกเลี่ยงปัญหาผลประโยชน์ทับซ้อนและสร้างความไว้วางใจในการจัดสรรรายได้ระหว่างผู้ให้บริการ อันเป็นบทเรียนสำคัญที่ทำให้โครงการบัตรร่วมในอดีตไม่ประสบความสำเร็จ</w:t>
      </w:r>
    </w:p>
    <w:p>
      <w:pPr>
        <w:spacing w:line="240" w:lineRule="auto" w:after="0"/>
        <w:ind w:firstLine="720"/>
        <w:jc w:val="left"/>
      </w:pPr>
      <w:r>
        <w:rPr>
          <w:rFonts w:ascii="TH Sarabun New" w:hAnsi="TH Sarabun New" w:cs="TH Sarabun New" w:eastAsia="TH Sarabun New"/>
          <w:b w:val="0"/>
          <w:i w:val="0"/>
          <w:sz w:val="32"/>
          <w:szCs w:val="32"/>
        </w:rPr>
        <w:t>NTCH มีหน้าที่หลัก 4 ประการ ได้แก่ (1) ประมวลผลและจัดสรรรายได้ค่าโดยสารระหว่างผู้ให้บริการอย่างโปร่งใส (2) กำหนดและบำรุงรักษามาตรฐานทางเทคนิคของระบบตั๋วร่วม (3) บริหารจัดการข้อมูลกลางและรักษาความมั่นคงปลอดภัย และ (4) สนับสนุนการพัฒนานวัตกรรมและการเปิดข้อมูลแก่ภาคเอกชนเพื่อพัฒนาบริการต่อยอด</w:t>
      </w:r>
    </w:p>
    <w:p>
      <w:pPr>
        <w:spacing w:line="240" w:lineRule="auto" w:after="0"/>
        <w:ind w:firstLine="720"/>
        <w:jc w:val="left"/>
      </w:pPr>
      <w:r>
        <w:rPr>
          <w:rFonts w:ascii="TH Sarabun New" w:hAnsi="TH Sarabun New" w:cs="TH Sarabun New" w:eastAsia="TH Sarabun New"/>
          <w:b w:val="0"/>
          <w:i w:val="0"/>
          <w:sz w:val="32"/>
          <w:szCs w:val="32"/>
        </w:rPr>
        <w:t>โครงสร้างผู้ถือหุ้นแบบสมดุลของ NTCH มีความสำคัญเชิงยุทธศาสตร์ การให้ภาครัฐถือหุ้นข้างมาก (ร้อยละ 51) ทำให้คงอำนาจการกำกับดูแลและกำหนดนโยบายเพื่อประโยชน์สาธารณะ ขณะที่การให้สถาบันการเงินและผู้ให้บริการร่วมถือหุ้น ช่วยดึงความเชี่ยวชาญด้านการชำระเงินและการดำเนินงาน ตลอดจนสร้างแรงจูงใจให้ทุกฝ่ายร่วมมือกัน รูปแบบนี้แตกต่างจากการให้เอกชนรายใดรายหนึ่งเป็นเจ้าของระบบ ซึ่งอาจนำไปสู่การผูกขาดและความขัดแย้งทางผลประโยชน์ดังที่เคยเกิดขึ้นในอดีต</w:t>
      </w:r>
    </w:p>
    <w:p>
      <w:pPr>
        <w:keepNext/>
        <w:spacing w:before="200" w:after="80" w:line="240" w:lineRule="auto"/>
      </w:pPr>
      <w:r>
        <w:rPr>
          <w:rFonts w:ascii="TH Sarabun New" w:hAnsi="TH Sarabun New" w:cs="TH Sarabun New" w:eastAsia="TH Sarabun New"/>
          <w:b/>
          <w:i w:val="0"/>
          <w:color w:val="1F3D6E"/>
          <w:sz w:val="32"/>
          <w:szCs w:val="32"/>
        </w:rPr>
        <w:t>3.10 สถาปัตยกรรมข้อมูลและความมั่นคงปลอดภัยทางไซเบอร์</w:t>
      </w:r>
    </w:p>
    <w:p>
      <w:pPr>
        <w:spacing w:line="240" w:lineRule="auto" w:after="0"/>
        <w:ind w:firstLine="720"/>
        <w:jc w:val="left"/>
      </w:pPr>
      <w:r>
        <w:rPr>
          <w:rFonts w:ascii="TH Sarabun New" w:hAnsi="TH Sarabun New" w:cs="TH Sarabun New" w:eastAsia="TH Sarabun New"/>
          <w:b w:val="0"/>
          <w:i w:val="0"/>
          <w:sz w:val="32"/>
          <w:szCs w:val="32"/>
        </w:rPr>
        <w:t>การบูรณาการระบบขนส่งสร้างข้อมูลการเดินทางจำนวนมากที่มีคุณค่าต่อการวางแผนนโยบาย แต่ก็มีความอ่อนไหวด้านความเป็นส่วนตัว คณะผู้จัดทำเสนอสถาปัตยกรรมข้อมูล 3 ชั้น ได้แก่ ชั้นข้อมูลเปิด (MOT Data Catalog 2.0) ที่บังคับให้ผู้ให้บริการส่งข้อมูลตามมาตรฐาน GTFS/GBFS แบบเรียลไทม์ ชั้นเชื่อมต่อ (API Gateway กลาง) ที่ใช้มาตรฐาน OAuth2 และ ThaID ในการยืนยันตัวตน และชั้นบริการ (MaaS App และแอปต่อยอดของภาคเอกชน) ทั้งนี้ ต้องดำเนินการภายใต้หลักการคุ้มครองข้อมูลตั้งแต่การออกแบบ (Privacy by Design) สอดคล้องกับพระราชบัญญัติคุ้มครองข้อมูลส่วนบุคคล พ.ศ. 2562 และพระราชบัญญัติการรักษาความมั่นคงปลอดภัยไซเบอร์ พ.ศ. 2562 พร้อมจัดให้มีการรับรองมาตรฐาน ISO/IEC 27001 การแต่งตั้งเจ้าหน้าที่คุ้มครองข้อมูลส่วนบุคคล (DPO) และการทดสอบเจาะระบบ (Penetration Test) อย่างสม่ำเสมอ</w:t>
      </w:r>
    </w:p>
    <w:p>
      <w:pPr>
        <w:keepNext/>
        <w:spacing w:before="360" w:after="200" w:line="240" w:lineRule="auto"/>
        <w:jc w:val="left"/>
      </w:pPr>
      <w:r>
        <w:rPr>
          <w:rFonts w:ascii="TH Sarabun New" w:hAnsi="TH Sarabun New" w:cs="TH Sarabun New" w:eastAsia="TH Sarabun New"/>
          <w:b/>
          <w:i w:val="0"/>
          <w:color w:val="1F3D6E"/>
          <w:sz w:val="36"/>
          <w:szCs w:val="36"/>
        </w:rPr>
        <w:t>4.  การนำแนวทางแก้โจทย์สู่การปฏิบัติ</w:t>
      </w:r>
    </w:p>
    <w:p>
      <w:pPr>
        <w:keepNext/>
        <w:spacing w:before="200" w:after="80" w:line="240" w:lineRule="auto"/>
      </w:pPr>
      <w:r>
        <w:rPr>
          <w:rFonts w:ascii="TH Sarabun New" w:hAnsi="TH Sarabun New" w:cs="TH Sarabun New" w:eastAsia="TH Sarabun New"/>
          <w:b/>
          <w:i w:val="0"/>
          <w:color w:val="1F3D6E"/>
          <w:sz w:val="32"/>
          <w:szCs w:val="32"/>
        </w:rPr>
        <w:t>4.1 สรุปภาพรวมโจทย์หลัก โจทย์รอง และแนวทางแก้โจทย์</w:t>
      </w:r>
    </w:p>
    <w:p>
      <w:pPr>
        <w:spacing w:line="240" w:lineRule="auto" w:after="0"/>
        <w:ind w:firstLine="720"/>
        <w:jc w:val="left"/>
      </w:pPr>
      <w:r>
        <w:rPr>
          <w:rFonts w:ascii="TH Sarabun New" w:hAnsi="TH Sarabun New" w:cs="TH Sarabun New" w:eastAsia="TH Sarabun New"/>
          <w:b w:val="0"/>
          <w:i w:val="0"/>
          <w:sz w:val="32"/>
          <w:szCs w:val="32"/>
        </w:rPr>
        <w:t>โจทย์หลักคือการบูรณาการระบบคมนาคมขนส่งสาธารณะให้ไร้รอยต่อและเพิ่มสัดส่วนการเดินทางด้วยระบบขนส่งสาธารณะ โดยมีโจทย์รองคือ 4 เสาหลัก (ตั๋วร่วม · MaaS App · Complete Streets · มาตรการภาษี) ที่ขับเคลื่อนพร้อมกันผ่าน 5 กลไกสนับสนุน และพิสูจน์ผลที่จังหวัดสมุทรปราการก่อนขยายผลทั่วประเทศ</w:t>
      </w:r>
    </w:p>
    <w:p>
      <w:pPr>
        <w:keepNext/>
        <w:spacing w:before="200" w:after="80" w:line="240" w:lineRule="auto"/>
      </w:pPr>
      <w:r>
        <w:rPr>
          <w:rFonts w:ascii="TH Sarabun New" w:hAnsi="TH Sarabun New" w:cs="TH Sarabun New" w:eastAsia="TH Sarabun New"/>
          <w:b/>
          <w:i w:val="0"/>
          <w:color w:val="1F3D6E"/>
          <w:sz w:val="32"/>
          <w:szCs w:val="32"/>
        </w:rPr>
        <w:t>4.2 หน่วยงานรับผิดชอบและเจ้าภาพการขับเคลื่อน</w:t>
      </w:r>
    </w:p>
    <w:p>
      <w:pPr>
        <w:spacing w:line="240" w:lineRule="auto" w:after="0"/>
        <w:ind w:firstLine="720"/>
        <w:jc w:val="left"/>
      </w:pPr>
      <w:r>
        <w:rPr>
          <w:rFonts w:ascii="TH Sarabun New" w:hAnsi="TH Sarabun New" w:cs="TH Sarabun New" w:eastAsia="TH Sarabun New"/>
          <w:b w:val="0"/>
          <w:i w:val="0"/>
          <w:sz w:val="32"/>
          <w:szCs w:val="32"/>
        </w:rPr>
        <w:t>การนำแนวทางสู่การปฏิบัติต้องอาศัยการกำหนดเจ้าภาพหลักและเจ้าภาพรองที่ชัดเจน ดังนี้</w:t>
      </w:r>
    </w:p>
    <w:p>
      <w:pPr>
        <w:keepNext/>
        <w:spacing w:before="200" w:after="40" w:line="240" w:lineRule="auto"/>
        <w:jc w:val="center"/>
      </w:pPr>
      <w:r>
        <w:rPr>
          <w:rFonts w:ascii="TH Sarabun New" w:hAnsi="TH Sarabun New" w:cs="TH Sarabun New" w:eastAsia="TH Sarabun New"/>
          <w:b/>
          <w:i w:val="0"/>
          <w:sz w:val="30"/>
          <w:szCs w:val="30"/>
        </w:rPr>
        <w:t>ตารางที่ 7  หน่วยงานเจ้าภาพหลักและเจ้าภาพรองในการขับเคลื่อน</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204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เสาหลัก/กลไก</w:t>
            </w:r>
          </w:p>
        </w:tc>
        <w:tc>
          <w:tcPr>
            <w:tcW w:type="dxa" w:w="306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เจ้าภาพหลัก</w:t>
            </w:r>
          </w:p>
        </w:tc>
        <w:tc>
          <w:tcPr>
            <w:tcW w:type="dxa" w:w="311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เจ้าภาพรอง/หน่วยร่วม</w:t>
            </w:r>
          </w:p>
        </w:tc>
      </w:tr>
      <w:tr>
        <w:trPr>
          <w:cantSplit/>
        </w:trPr>
        <w:tc>
          <w:tcPr>
            <w:tcW w:type="dxa" w:w="2041"/>
            <w:vAlign w:val="top"/>
          </w:tcPr>
          <w:p>
            <w:pPr>
              <w:spacing w:after="0" w:line="240" w:lineRule="auto"/>
              <w:jc w:val="left"/>
            </w:pPr>
            <w:r/>
            <w:r>
              <w:rPr>
                <w:rFonts w:ascii="TH Sarabun New" w:hAnsi="TH Sarabun New" w:cs="TH Sarabun New" w:eastAsia="TH Sarabun New"/>
                <w:b w:val="0"/>
                <w:i w:val="0"/>
                <w:sz w:val="26"/>
                <w:szCs w:val="26"/>
              </w:rPr>
              <w:t>ตั๋วร่วม + NTCH</w:t>
            </w:r>
          </w:p>
        </w:tc>
        <w:tc>
          <w:tcPr>
            <w:tcW w:type="dxa" w:w="3061"/>
            <w:vAlign w:val="top"/>
          </w:tcPr>
          <w:p>
            <w:pPr>
              <w:spacing w:after="0" w:line="240" w:lineRule="auto"/>
              <w:jc w:val="left"/>
            </w:pPr>
            <w:r/>
            <w:r>
              <w:rPr>
                <w:rFonts w:ascii="TH Sarabun New" w:hAnsi="TH Sarabun New" w:cs="TH Sarabun New" w:eastAsia="TH Sarabun New"/>
                <w:b w:val="0"/>
                <w:i w:val="0"/>
                <w:sz w:val="26"/>
                <w:szCs w:val="26"/>
              </w:rPr>
              <w:t>สนข. / กรมการขนส่งทางราง</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รฟม. · รฟท. · ขสมก. · ผู้ให้บริการเอกชน · สถาบันการเงิน</w:t>
            </w:r>
          </w:p>
        </w:tc>
      </w:tr>
      <w:tr>
        <w:trPr>
          <w:cantSplit/>
        </w:trPr>
        <w:tc>
          <w:tcPr>
            <w:tcW w:type="dxa" w:w="2041"/>
            <w:vAlign w:val="top"/>
          </w:tcPr>
          <w:p>
            <w:pPr>
              <w:spacing w:after="0" w:line="240" w:lineRule="auto"/>
              <w:jc w:val="left"/>
            </w:pPr>
            <w:r/>
            <w:r>
              <w:rPr>
                <w:rFonts w:ascii="TH Sarabun New" w:hAnsi="TH Sarabun New" w:cs="TH Sarabun New" w:eastAsia="TH Sarabun New"/>
                <w:b w:val="0"/>
                <w:i w:val="0"/>
                <w:sz w:val="26"/>
                <w:szCs w:val="26"/>
              </w:rPr>
              <w:t>MaaS App + ข้อมูล</w:t>
            </w:r>
          </w:p>
        </w:tc>
        <w:tc>
          <w:tcPr>
            <w:tcW w:type="dxa" w:w="3061"/>
            <w:vAlign w:val="top"/>
          </w:tcPr>
          <w:p>
            <w:pPr>
              <w:spacing w:after="0" w:line="240" w:lineRule="auto"/>
              <w:jc w:val="left"/>
            </w:pPr>
            <w:r/>
            <w:r>
              <w:rPr>
                <w:rFonts w:ascii="TH Sarabun New" w:hAnsi="TH Sarabun New" w:cs="TH Sarabun New" w:eastAsia="TH Sarabun New"/>
                <w:b w:val="0"/>
                <w:i w:val="0"/>
                <w:sz w:val="26"/>
                <w:szCs w:val="26"/>
              </w:rPr>
              <w:t>สนข. / สำนักงานปลัดกระทรวงคมนาคม</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กรมการขนส่งทางบก · ผู้ให้บริการ · ภาคเอกชนผู้พัฒนาแอป</w:t>
            </w:r>
          </w:p>
        </w:tc>
      </w:tr>
      <w:tr>
        <w:trPr>
          <w:cantSplit/>
        </w:trPr>
        <w:tc>
          <w:tcPr>
            <w:tcW w:type="dxa" w:w="2041"/>
            <w:vAlign w:val="top"/>
          </w:tcPr>
          <w:p>
            <w:pPr>
              <w:spacing w:after="0" w:line="240" w:lineRule="auto"/>
              <w:jc w:val="left"/>
            </w:pPr>
            <w:r/>
            <w:r>
              <w:rPr>
                <w:rFonts w:ascii="TH Sarabun New" w:hAnsi="TH Sarabun New" w:cs="TH Sarabun New" w:eastAsia="TH Sarabun New"/>
                <w:b w:val="0"/>
                <w:i w:val="0"/>
                <w:sz w:val="26"/>
                <w:szCs w:val="26"/>
              </w:rPr>
              <w:t>Complete Streets</w:t>
            </w:r>
          </w:p>
        </w:tc>
        <w:tc>
          <w:tcPr>
            <w:tcW w:type="dxa" w:w="3061"/>
            <w:vAlign w:val="top"/>
          </w:tcPr>
          <w:p>
            <w:pPr>
              <w:spacing w:after="0" w:line="240" w:lineRule="auto"/>
              <w:jc w:val="left"/>
            </w:pPr>
            <w:r/>
            <w:r>
              <w:rPr>
                <w:rFonts w:ascii="TH Sarabun New" w:hAnsi="TH Sarabun New" w:cs="TH Sarabun New" w:eastAsia="TH Sarabun New"/>
                <w:b w:val="0"/>
                <w:i w:val="0"/>
                <w:sz w:val="26"/>
                <w:szCs w:val="26"/>
              </w:rPr>
              <w:t>องค์การบริหารส่วนจังหวัดสมุทรปราการ / กทม.</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กรมทางหลวง · กรมทางหลวงชนบท · เทศบาล</w:t>
            </w:r>
          </w:p>
        </w:tc>
      </w:tr>
      <w:tr>
        <w:trPr>
          <w:cantSplit/>
        </w:trPr>
        <w:tc>
          <w:tcPr>
            <w:tcW w:type="dxa" w:w="2041"/>
            <w:vAlign w:val="top"/>
          </w:tcPr>
          <w:p>
            <w:pPr>
              <w:spacing w:after="0" w:line="240" w:lineRule="auto"/>
              <w:jc w:val="left"/>
            </w:pPr>
            <w:r/>
            <w:r>
              <w:rPr>
                <w:rFonts w:ascii="TH Sarabun New" w:hAnsi="TH Sarabun New" w:cs="TH Sarabun New" w:eastAsia="TH Sarabun New"/>
                <w:b w:val="0"/>
                <w:i w:val="0"/>
                <w:sz w:val="26"/>
                <w:szCs w:val="26"/>
              </w:rPr>
              <w:t>มาตรการภาษี</w:t>
            </w:r>
          </w:p>
        </w:tc>
        <w:tc>
          <w:tcPr>
            <w:tcW w:type="dxa" w:w="3061"/>
            <w:vAlign w:val="top"/>
          </w:tcPr>
          <w:p>
            <w:pPr>
              <w:spacing w:after="0" w:line="240" w:lineRule="auto"/>
              <w:jc w:val="left"/>
            </w:pPr>
            <w:r/>
            <w:r>
              <w:rPr>
                <w:rFonts w:ascii="TH Sarabun New" w:hAnsi="TH Sarabun New" w:cs="TH Sarabun New" w:eastAsia="TH Sarabun New"/>
                <w:b w:val="0"/>
                <w:i w:val="0"/>
                <w:sz w:val="26"/>
                <w:szCs w:val="26"/>
              </w:rPr>
              <w:t>กระทรวงการคลัง</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กรมสรรพากร · กระทรวงคมนาคม · อปท.</w:t>
            </w:r>
          </w:p>
        </w:tc>
      </w:tr>
      <w:tr>
        <w:trPr>
          <w:cantSplit/>
        </w:trPr>
        <w:tc>
          <w:tcPr>
            <w:tcW w:type="dxa" w:w="2041"/>
            <w:vAlign w:val="top"/>
          </w:tcPr>
          <w:p>
            <w:pPr>
              <w:spacing w:after="0" w:line="240" w:lineRule="auto"/>
              <w:jc w:val="left"/>
            </w:pPr>
            <w:r/>
            <w:r>
              <w:rPr>
                <w:rFonts w:ascii="TH Sarabun New" w:hAnsi="TH Sarabun New" w:cs="TH Sarabun New" w:eastAsia="TH Sarabun New"/>
                <w:b w:val="0"/>
                <w:i w:val="0"/>
                <w:sz w:val="26"/>
                <w:szCs w:val="26"/>
              </w:rPr>
              <w:t>ประสานข้ามกระทรวง</w:t>
            </w:r>
          </w:p>
        </w:tc>
        <w:tc>
          <w:tcPr>
            <w:tcW w:type="dxa" w:w="3061"/>
            <w:vAlign w:val="top"/>
          </w:tcPr>
          <w:p>
            <w:pPr>
              <w:spacing w:after="0" w:line="240" w:lineRule="auto"/>
              <w:jc w:val="left"/>
            </w:pPr>
            <w:r/>
            <w:r>
              <w:rPr>
                <w:rFonts w:ascii="TH Sarabun New" w:hAnsi="TH Sarabun New" w:cs="TH Sarabun New" w:eastAsia="TH Sarabun New"/>
                <w:b w:val="0"/>
                <w:i w:val="0"/>
                <w:sz w:val="26"/>
                <w:szCs w:val="26"/>
              </w:rPr>
              <w:t>Joint Task Force (ปลัดกระทรวงคมนาคมเป็นประธาน)</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ทุกหน่วยงานที่เกี่ยวข้อง</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กลไกการประสานงานที่สำคัญที่สุดคือคณะทำงานร่วม (Joint Task Force) ที่มีปลัดกระทรวงคมนาคมเป็นประธาน และมีผู้แทนระดับสูงจากกระทรวงการคลัง กรุงเทพมหานคร องค์การบริหารส่วนจังหวัดสมุทรปราการ และผู้ให้บริการหลักร่วมเป็นกรรมการ เพื่อตัดสินใจเชิงนโยบายและขจัดอุปสรรคข้ามหน่วยงานได้อย่างรวดเร็ว ทั้งนี้ ควรบรรจุภารกิจการบูรณาการระบบขนส่งไว้ในแผนปฏิบัติราชการและตัวชี้วัดผลการปฏิบัติงานของแต่ละหน่วยงาน เพื่อสร้างความรับผิดชอบร่วมและความต่อเนื่อง นอกจากนี้ ควรมีสำนักงานบริหารโครงการ (Program Management Office: PMO) ทำหน้าที่ประสานงานและติดตามความก้าวหน้าในระดับปฏิบัติการ</w:t>
      </w:r>
    </w:p>
    <w:p>
      <w:pPr>
        <w:keepNext/>
        <w:spacing w:before="200" w:after="80" w:line="240" w:lineRule="auto"/>
      </w:pPr>
      <w:r>
        <w:rPr>
          <w:rFonts w:ascii="TH Sarabun New" w:hAnsi="TH Sarabun New" w:cs="TH Sarabun New" w:eastAsia="TH Sarabun New"/>
          <w:b/>
          <w:i w:val="0"/>
          <w:color w:val="1F3D6E"/>
          <w:sz w:val="32"/>
          <w:szCs w:val="32"/>
        </w:rPr>
        <w:t>4.3 พื้นที่นำร่องจังหวัดสมุทรปราการ</w:t>
      </w:r>
    </w:p>
    <w:p>
      <w:pPr>
        <w:spacing w:line="240" w:lineRule="auto" w:after="0"/>
        <w:ind w:firstLine="720"/>
        <w:jc w:val="left"/>
      </w:pPr>
      <w:r>
        <w:rPr>
          <w:rFonts w:ascii="TH Sarabun New" w:hAnsi="TH Sarabun New" w:cs="TH Sarabun New" w:eastAsia="TH Sarabun New"/>
          <w:b w:val="0"/>
          <w:i w:val="0"/>
          <w:sz w:val="32"/>
          <w:szCs w:val="32"/>
        </w:rPr>
        <w:t>คณะผู้จัดทำเลือกจังหวัดสมุทรปราการเป็นพื้นที่นำร่องด้วยเหตุผล 5 ประการ ได้แก่ (1) มีโครงข่ายระบบขนส่งครบทุกประเภท ทั้ง BTS สายสีเขียวเข้ม (สำโรง-เคหะฯ) MRT สายสีเหลือง (ปลายทางสำโรง) รถไฟฟ้าแอร์พอร์ตเรลลิงก์ (สถานีสุวรรณภูมิในอำเภอบางพลี) รถไฟสายตะวันออก รถเมล์ ขสมก. และเรือ (2) ประชากรหนาแน่นและหลากหลาย ประชากรทะเบียนประมาณ 1.36 ล้านคน รวมประชากรแฝงอีกหลายแสนคน (3) มีนิคมอุตสาหกรรมขนาดใหญ่ (บางปูและบางพลี) รวมพนักงานกว่า 100,000 คนที่มีการทำงานเป็นกะ (4) อยู่ใกล้กระทรวงคมนาคมและสนามบินสุวรรณภูมิ สะดวกต่อการประสานงานและติดตามผล และ (5) มีปัญหารุนแรงที่ต้องเร่งแก้ไข ทั้งปริมาณจราจรสูงและมลพิษ PM2.5</w:t>
      </w:r>
    </w:p>
    <w:p>
      <w:pPr>
        <w:keepNext/>
        <w:spacing w:before="160" w:after="40"/>
        <w:jc w:val="center"/>
      </w:pPr>
      <w:r>
        <w:drawing>
          <wp:inline xmlns:a="http://schemas.openxmlformats.org/drawingml/2006/main" xmlns:pic="http://schemas.openxmlformats.org/drawingml/2006/picture">
            <wp:extent cx="5220000" cy="2928457"/>
            <wp:docPr id="8" name="Picture 8"/>
            <wp:cNvGraphicFramePr>
              <a:graphicFrameLocks noChangeAspect="1"/>
            </wp:cNvGraphicFramePr>
            <a:graphic>
              <a:graphicData uri="http://schemas.openxmlformats.org/drawingml/2006/picture">
                <pic:pic>
                  <pic:nvPicPr>
                    <pic:cNvPr id="0" name="fig-samutprakan.png"/>
                    <pic:cNvPicPr/>
                  </pic:nvPicPr>
                  <pic:blipFill>
                    <a:blip r:embed="rId18"/>
                    <a:stretch>
                      <a:fillRect/>
                    </a:stretch>
                  </pic:blipFill>
                  <pic:spPr>
                    <a:xfrm>
                      <a:off x="0" y="0"/>
                      <a:ext cx="5220000" cy="2928457"/>
                    </a:xfrm>
                    <a:prstGeom prst="rect"/>
                  </pic:spPr>
                </pic:pic>
              </a:graphicData>
            </a:graphic>
          </wp:inline>
        </w:drawing>
      </w:r>
    </w:p>
    <w:p>
      <w:pPr>
        <w:spacing w:after="160" w:line="240" w:lineRule="auto"/>
        <w:jc w:val="center"/>
      </w:pPr>
      <w:r>
        <w:rPr>
          <w:rFonts w:ascii="TH Sarabun New" w:hAnsi="TH Sarabun New" w:cs="TH Sarabun New" w:eastAsia="TH Sarabun New"/>
          <w:b/>
          <w:i w:val="0"/>
          <w:sz w:val="30"/>
          <w:szCs w:val="30"/>
        </w:rPr>
        <w:t>ภาพที่ 5  จังหวัดสมุทรปราการ พื้นที่นำร่อง และจุดยุทธศาสตร์ด้านการขนส่ง</w:t>
      </w:r>
    </w:p>
    <w:p>
      <w:pPr>
        <w:spacing w:line="240" w:lineRule="auto" w:after="0"/>
        <w:ind w:firstLine="720"/>
        <w:jc w:val="left"/>
      </w:pPr>
      <w:r>
        <w:rPr>
          <w:rFonts w:ascii="TH Sarabun New" w:hAnsi="TH Sarabun New" w:cs="TH Sarabun New" w:eastAsia="TH Sarabun New"/>
          <w:b w:val="0"/>
          <w:i w:val="0"/>
          <w:sz w:val="32"/>
          <w:szCs w:val="32"/>
        </w:rPr>
        <w:t>จุดยุทธศาสตร์ด้านการขนส่งในพื้นที่นำร่องที่คณะผู้จัดทำเสนอให้ดำเนินการก่อน ได้แก่ บริเวณสถานีสำโรงซึ่งเป็นจุดเชื่อมต่อระหว่าง BTS และ MRT สายสีเหลือง ย่านตลาดปากน้ำซึ่งเป็นศูนย์กลางพาณิชย์และที่อยู่อาศัย นิคมอุตสาหกรรมบางปูและบางพลีซึ่งมีแรงงานหนาแน่นและมีรูปแบบการเดินทางเป็นกะ และสนามบินสุวรรณภูมิซึ่งเป็นประตูสู่ระดับสากล จุดเหล่านี้มีศักยภาพในการทดสอบทั้ง 4 เสาหลักและสามารถวัดผลได้อย่างชัดเจน</w:t>
      </w:r>
    </w:p>
    <w:p>
      <w:pPr>
        <w:spacing w:line="240" w:lineRule="auto" w:after="0"/>
        <w:ind w:firstLine="720"/>
        <w:jc w:val="left"/>
      </w:pPr>
      <w:r>
        <w:rPr>
          <w:rFonts w:ascii="TH Sarabun New" w:hAnsi="TH Sarabun New" w:cs="TH Sarabun New" w:eastAsia="TH Sarabun New"/>
          <w:b w:val="0"/>
          <w:i w:val="0"/>
          <w:sz w:val="32"/>
          <w:szCs w:val="32"/>
        </w:rPr>
        <w:t>การดำเนินงานในพื้นที่นำร่องจะใช้แนวทางบูรณาการเชิงพื้นที่ (Area-based Integration) กล่าวคือ ดำเนินการทั้ง 4 เสาหลักพร้อมกันในบริเวณเดียวกัน เพื่อให้เห็นผลกระทบเชิงระบบอย่างเป็นรูปธรรม เช่น ผู้โดยสารที่ลงจาก MRT ที่สถานีสำโรงสามารถใช้บัตรเดียว/แอปเดียวต่อรถ Feeder EV ไปยังนิคมอุตสาหกรรม เดินบนทางเท้าที่ปลอดภัย และได้รับสิทธิลดหย่อนภาษีจากการใช้ระบบขนส่งสาธารณะ อันเป็นการพิสูจน์แนวคิด "การเดินทางไร้รอยต่อ" (Seamless Mobility) ที่สามารถขยายผลได้</w:t>
      </w:r>
    </w:p>
    <w:p>
      <w:pPr>
        <w:spacing w:line="240" w:lineRule="auto" w:after="0"/>
        <w:ind w:firstLine="720"/>
        <w:jc w:val="left"/>
      </w:pPr>
      <w:r>
        <w:rPr>
          <w:rFonts w:ascii="TH Sarabun New" w:hAnsi="TH Sarabun New" w:cs="TH Sarabun New" w:eastAsia="TH Sarabun New"/>
          <w:b w:val="0"/>
          <w:i w:val="0"/>
          <w:sz w:val="32"/>
          <w:szCs w:val="32"/>
        </w:rPr>
        <w:t>แผนการดำเนินงานในพื้นที่นำร่องระยะ 3 ปี (พ.ศ. 2570-2572) ดำเนินการ 4 เสาหลักไปพร้อมกัน งบประมาณรวมประมาณ 4,000-6,000 ล้านบาท สรุปได้ดังตาราง</w:t>
      </w:r>
    </w:p>
    <w:p>
      <w:pPr>
        <w:keepNext/>
        <w:spacing w:before="200" w:after="40" w:line="240" w:lineRule="auto"/>
        <w:jc w:val="center"/>
      </w:pPr>
      <w:r>
        <w:rPr>
          <w:rFonts w:ascii="TH Sarabun New" w:hAnsi="TH Sarabun New" w:cs="TH Sarabun New" w:eastAsia="TH Sarabun New"/>
          <w:b/>
          <w:i w:val="0"/>
          <w:sz w:val="30"/>
          <w:szCs w:val="30"/>
        </w:rPr>
        <w:t>ตารางที่ 8  แผนการดำเนินงาน 4 เสาหลักในพื้นที่นำร่องจังหวัดสมุทรปราการ</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170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เสาหลัก</w:t>
            </w:r>
          </w:p>
        </w:tc>
        <w:tc>
          <w:tcPr>
            <w:tcW w:type="dxa" w:w="4252"/>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แผนการดำเนินงานที่จังหวัดสมุทรปราการ</w:t>
            </w:r>
          </w:p>
        </w:tc>
        <w:tc>
          <w:tcPr>
            <w:tcW w:type="dxa" w:w="170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งบประมาณ (ล้านบาท)</w:t>
            </w:r>
          </w:p>
        </w:tc>
      </w:tr>
      <w:tr>
        <w:trPr>
          <w:cantSplit/>
        </w:trPr>
        <w:tc>
          <w:tcPr>
            <w:tcW w:type="dxa" w:w="1701"/>
            <w:vAlign w:val="top"/>
          </w:tcPr>
          <w:p>
            <w:pPr>
              <w:spacing w:after="0" w:line="240" w:lineRule="auto"/>
              <w:jc w:val="left"/>
            </w:pPr>
            <w:r/>
            <w:r>
              <w:rPr>
                <w:rFonts w:ascii="TH Sarabun New" w:hAnsi="TH Sarabun New" w:cs="TH Sarabun New" w:eastAsia="TH Sarabun New"/>
                <w:b w:val="0"/>
                <w:i w:val="0"/>
                <w:sz w:val="26"/>
                <w:szCs w:val="26"/>
              </w:rPr>
              <w:t>1) ตั๋วร่วม</w:t>
            </w:r>
          </w:p>
        </w:tc>
        <w:tc>
          <w:tcPr>
            <w:tcW w:type="dxa" w:w="4252"/>
            <w:vAlign w:val="top"/>
          </w:tcPr>
          <w:p>
            <w:pPr>
              <w:spacing w:after="0" w:line="240" w:lineRule="auto"/>
              <w:jc w:val="left"/>
            </w:pPr>
            <w:r/>
            <w:r>
              <w:rPr>
                <w:rFonts w:ascii="TH Sarabun New" w:hAnsi="TH Sarabun New" w:cs="TH Sarabun New" w:eastAsia="TH Sarabun New"/>
                <w:b w:val="0"/>
                <w:i w:val="0"/>
                <w:sz w:val="26"/>
                <w:szCs w:val="26"/>
              </w:rPr>
              <w:t>BTS Green EMV migration 9 สถานี (สำโรง-เคหะฯ) · ARL สุวรรณภูมิ · รถเมล์ ขสมก. + Feeder EV รับ EMV/QR · NTCH ทำ clearing</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300-500</w:t>
            </w:r>
          </w:p>
        </w:tc>
      </w:tr>
      <w:tr>
        <w:trPr>
          <w:cantSplit/>
        </w:trPr>
        <w:tc>
          <w:tcPr>
            <w:tcW w:type="dxa" w:w="1701"/>
            <w:vAlign w:val="top"/>
          </w:tcPr>
          <w:p>
            <w:pPr>
              <w:spacing w:after="0" w:line="240" w:lineRule="auto"/>
              <w:jc w:val="left"/>
            </w:pPr>
            <w:r/>
            <w:r>
              <w:rPr>
                <w:rFonts w:ascii="TH Sarabun New" w:hAnsi="TH Sarabun New" w:cs="TH Sarabun New" w:eastAsia="TH Sarabun New"/>
                <w:b w:val="0"/>
                <w:i w:val="0"/>
                <w:sz w:val="26"/>
                <w:szCs w:val="26"/>
              </w:rPr>
              <w:t>2) MaaS App Beta</w:t>
            </w:r>
          </w:p>
        </w:tc>
        <w:tc>
          <w:tcPr>
            <w:tcW w:type="dxa" w:w="4252"/>
            <w:vAlign w:val="top"/>
          </w:tcPr>
          <w:p>
            <w:pPr>
              <w:spacing w:after="0" w:line="240" w:lineRule="auto"/>
              <w:jc w:val="left"/>
            </w:pPr>
            <w:r/>
            <w:r>
              <w:rPr>
                <w:rFonts w:ascii="TH Sarabun New" w:hAnsi="TH Sarabun New" w:cs="TH Sarabun New" w:eastAsia="TH Sarabun New"/>
                <w:b w:val="0"/>
                <w:i w:val="0"/>
                <w:sz w:val="26"/>
                <w:szCs w:val="26"/>
              </w:rPr>
              <w:t>เปิด Beta เฉพาะในจังหวัดสมุทรปราการ เชื่อม 6 ระบบ · เป้าหมาย 200,000 ผู้ใช้ต่อวันใน 2 ปีแรก</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300-500</w:t>
            </w:r>
          </w:p>
        </w:tc>
      </w:tr>
      <w:tr>
        <w:trPr>
          <w:cantSplit/>
        </w:trPr>
        <w:tc>
          <w:tcPr>
            <w:tcW w:type="dxa" w:w="1701"/>
            <w:vAlign w:val="top"/>
          </w:tcPr>
          <w:p>
            <w:pPr>
              <w:spacing w:after="0" w:line="240" w:lineRule="auto"/>
              <w:jc w:val="left"/>
            </w:pPr>
            <w:r/>
            <w:r>
              <w:rPr>
                <w:rFonts w:ascii="TH Sarabun New" w:hAnsi="TH Sarabun New" w:cs="TH Sarabun New" w:eastAsia="TH Sarabun New"/>
                <w:b w:val="0"/>
                <w:i w:val="0"/>
                <w:sz w:val="26"/>
                <w:szCs w:val="26"/>
              </w:rPr>
              <w:t>3) Complete Streets</w:t>
            </w:r>
          </w:p>
        </w:tc>
        <w:tc>
          <w:tcPr>
            <w:tcW w:type="dxa" w:w="4252"/>
            <w:vAlign w:val="top"/>
          </w:tcPr>
          <w:p>
            <w:pPr>
              <w:spacing w:after="0" w:line="240" w:lineRule="auto"/>
              <w:jc w:val="left"/>
            </w:pPr>
            <w:r/>
            <w:r>
              <w:rPr>
                <w:rFonts w:ascii="TH Sarabun New" w:hAnsi="TH Sarabun New" w:cs="TH Sarabun New" w:eastAsia="TH Sarabun New"/>
                <w:b w:val="0"/>
                <w:i w:val="0"/>
                <w:sz w:val="26"/>
                <w:szCs w:val="26"/>
              </w:rPr>
              <w:t>ถนนศรีนครินทร์ (5 กม.) · ถนนนารายณ์-ปากน้ำ (4 กม.) · ถนนบางนา-ตราด (6 กม.) · Park &amp; Ride 3 จุด</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1,500-3,000</w:t>
            </w:r>
          </w:p>
        </w:tc>
      </w:tr>
      <w:tr>
        <w:trPr>
          <w:cantSplit/>
        </w:trPr>
        <w:tc>
          <w:tcPr>
            <w:tcW w:type="dxa" w:w="1701"/>
            <w:vAlign w:val="top"/>
          </w:tcPr>
          <w:p>
            <w:pPr>
              <w:spacing w:after="0" w:line="240" w:lineRule="auto"/>
              <w:jc w:val="left"/>
            </w:pPr>
            <w:r/>
            <w:r>
              <w:rPr>
                <w:rFonts w:ascii="TH Sarabun New" w:hAnsi="TH Sarabun New" w:cs="TH Sarabun New" w:eastAsia="TH Sarabun New"/>
                <w:b w:val="0"/>
                <w:i w:val="0"/>
                <w:sz w:val="26"/>
                <w:szCs w:val="26"/>
              </w:rPr>
              <w:t>4) Commuter Tax</w:t>
            </w:r>
          </w:p>
        </w:tc>
        <w:tc>
          <w:tcPr>
            <w:tcW w:type="dxa" w:w="4252"/>
            <w:vAlign w:val="top"/>
          </w:tcPr>
          <w:p>
            <w:pPr>
              <w:spacing w:after="0" w:line="240" w:lineRule="auto"/>
              <w:jc w:val="left"/>
            </w:pPr>
            <w:r/>
            <w:r>
              <w:rPr>
                <w:rFonts w:ascii="TH Sarabun New" w:hAnsi="TH Sarabun New" w:cs="TH Sarabun New" w:eastAsia="TH Sarabun New"/>
                <w:b w:val="0"/>
                <w:i w:val="0"/>
                <w:sz w:val="26"/>
                <w:szCs w:val="26"/>
              </w:rPr>
              <w:t>ลดหย่อนภาษี 15,000 บ./ปี สำหรับพนักงานนิคมบางปู+บางพลี (100,000 คน) · Take-up 30-40%</w:t>
            </w:r>
          </w:p>
        </w:tc>
        <w:tc>
          <w:tcPr>
            <w:tcW w:type="dxa" w:w="1701"/>
            <w:vAlign w:val="top"/>
          </w:tcPr>
          <w:p>
            <w:pPr>
              <w:spacing w:after="0" w:line="240" w:lineRule="auto"/>
              <w:jc w:val="left"/>
            </w:pPr>
            <w:r>
              <w:t>≈ 525-600/ปี (100,000 × 35% × 15,000 ฿)</w:t>
            </w:r>
            <w:r>
              <w:rPr>
                <w:rFonts w:ascii="TH Sarabun New" w:hAnsi="TH Sarabun New" w:cs="TH Sarabun New" w:eastAsia="TH Sarabun New"/>
                <w:b w:val="0"/>
                <w:i w:val="0"/>
                <w:sz w:val="26"/>
                <w:szCs w:val="26"/>
              </w:rPr>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สำหรับแผนระยะยาว 10 ปี คณะผู้จัดทำแบ่งการดำเนินงานเป็น 3 ระยะ ดังตาราง</w:t>
      </w:r>
    </w:p>
    <w:p>
      <w:pPr>
        <w:keepNext/>
        <w:spacing w:before="200" w:after="40" w:line="240" w:lineRule="auto"/>
        <w:jc w:val="center"/>
      </w:pPr>
      <w:r>
        <w:rPr>
          <w:rFonts w:ascii="TH Sarabun New" w:hAnsi="TH Sarabun New" w:cs="TH Sarabun New" w:eastAsia="TH Sarabun New"/>
          <w:b/>
          <w:i w:val="0"/>
          <w:sz w:val="30"/>
          <w:szCs w:val="30"/>
        </w:rPr>
        <w:t>ตารางที่ 9  แผนการดำเนินงานระยะยาว 10 ปี แบ่งเป็น 3 ระยะ</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076"/>
        <w:gridCol w:w="2076"/>
        <w:gridCol w:w="2076"/>
        <w:gridCol w:w="2076"/>
      </w:tblGrid>
      <w:tr>
        <w:tc>
          <w:tcPr>
            <w:tcW w:type="dxa" w:w="153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ระยะ</w:t>
            </w:r>
          </w:p>
        </w:tc>
        <w:tc>
          <w:tcPr>
            <w:tcW w:type="dxa" w:w="1417"/>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ช่วงเวลา</w:t>
            </w:r>
          </w:p>
        </w:tc>
        <w:tc>
          <w:tcPr>
            <w:tcW w:type="dxa" w:w="3855"/>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การดำเนินงานหลัก</w:t>
            </w:r>
          </w:p>
        </w:tc>
        <w:tc>
          <w:tcPr>
            <w:tcW w:type="dxa" w:w="1417"/>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งบประมาณ (ล้านบาท)</w:t>
            </w:r>
          </w:p>
        </w:tc>
      </w:tr>
      <w:tr>
        <w:trPr>
          <w:cantSplit/>
        </w:trPr>
        <w:tc>
          <w:tcPr>
            <w:tcW w:type="dxa" w:w="1531"/>
            <w:vAlign w:val="top"/>
          </w:tcPr>
          <w:p>
            <w:pPr>
              <w:spacing w:after="0" w:line="240" w:lineRule="auto"/>
              <w:jc w:val="left"/>
            </w:pPr>
            <w:r/>
            <w:r>
              <w:rPr>
                <w:rFonts w:ascii="TH Sarabun New" w:hAnsi="TH Sarabun New" w:cs="TH Sarabun New" w:eastAsia="TH Sarabun New"/>
                <w:b w:val="0"/>
                <w:i w:val="0"/>
                <w:sz w:val="26"/>
                <w:szCs w:val="26"/>
              </w:rPr>
              <w:t>ระยะที่ 1</w:t>
              <w:br/>
              <w:t>วางฐานราก</w:t>
            </w:r>
          </w:p>
        </w:tc>
        <w:tc>
          <w:tcPr>
            <w:tcW w:type="dxa" w:w="1417"/>
            <w:vAlign w:val="top"/>
          </w:tcPr>
          <w:p>
            <w:pPr>
              <w:spacing w:after="0" w:line="240" w:lineRule="auto"/>
              <w:jc w:val="left"/>
            </w:pPr>
            <w:r/>
            <w:r>
              <w:rPr>
                <w:rFonts w:ascii="TH Sarabun New" w:hAnsi="TH Sarabun New" w:cs="TH Sarabun New" w:eastAsia="TH Sarabun New"/>
                <w:b w:val="0"/>
                <w:i w:val="0"/>
                <w:sz w:val="26"/>
                <w:szCs w:val="26"/>
              </w:rPr>
              <w:t>พ.ศ. 2569-2570</w:t>
            </w:r>
          </w:p>
        </w:tc>
        <w:tc>
          <w:tcPr>
            <w:tcW w:type="dxa" w:w="3855"/>
            <w:vAlign w:val="top"/>
          </w:tcPr>
          <w:p>
            <w:pPr>
              <w:spacing w:after="0" w:line="240" w:lineRule="auto"/>
              <w:jc w:val="left"/>
            </w:pPr>
            <w:r/>
            <w:r>
              <w:rPr>
                <w:rFonts w:ascii="TH Sarabun New" w:hAnsi="TH Sarabun New" w:cs="TH Sarabun New" w:eastAsia="TH Sarabun New"/>
                <w:b w:val="0"/>
                <w:i w:val="0"/>
                <w:sz w:val="26"/>
                <w:szCs w:val="26"/>
              </w:rPr>
              <w:t>ออกกฎหมายลำดับรอง พ.ร.บ. ตั๋วร่วม · จัดตั้ง NTCH · พัฒนา MOT Data Catalog 2.0 · เตรียม EMV migration</w:t>
            </w:r>
          </w:p>
        </w:tc>
        <w:tc>
          <w:tcPr>
            <w:tcW w:type="dxa" w:w="1417"/>
            <w:vAlign w:val="top"/>
          </w:tcPr>
          <w:p>
            <w:pPr>
              <w:spacing w:after="0" w:line="240" w:lineRule="auto"/>
              <w:jc w:val="left"/>
            </w:pPr>
            <w:r/>
            <w:r>
              <w:rPr>
                <w:rFonts w:ascii="TH Sarabun New" w:hAnsi="TH Sarabun New" w:cs="TH Sarabun New" w:eastAsia="TH Sarabun New"/>
                <w:b w:val="0"/>
                <w:i w:val="0"/>
                <w:sz w:val="26"/>
                <w:szCs w:val="26"/>
              </w:rPr>
              <w:t>800-1,200</w:t>
            </w:r>
          </w:p>
        </w:tc>
      </w:tr>
      <w:tr>
        <w:trPr>
          <w:cantSplit/>
        </w:trPr>
        <w:tc>
          <w:tcPr>
            <w:tcW w:type="dxa" w:w="1531"/>
            <w:vAlign w:val="top"/>
          </w:tcPr>
          <w:p>
            <w:pPr>
              <w:spacing w:after="0" w:line="240" w:lineRule="auto"/>
              <w:jc w:val="left"/>
            </w:pPr>
            <w:r/>
            <w:r>
              <w:rPr>
                <w:rFonts w:ascii="TH Sarabun New" w:hAnsi="TH Sarabun New" w:cs="TH Sarabun New" w:eastAsia="TH Sarabun New"/>
                <w:b w:val="0"/>
                <w:i w:val="0"/>
                <w:sz w:val="26"/>
                <w:szCs w:val="26"/>
              </w:rPr>
              <w:t>ระยะที่ 2</w:t>
              <w:br/>
              <w:t>นำร่องสมุทรปราการ</w:t>
            </w:r>
          </w:p>
        </w:tc>
        <w:tc>
          <w:tcPr>
            <w:tcW w:type="dxa" w:w="1417"/>
            <w:vAlign w:val="top"/>
          </w:tcPr>
          <w:p>
            <w:pPr>
              <w:spacing w:after="0" w:line="240" w:lineRule="auto"/>
              <w:jc w:val="left"/>
            </w:pPr>
            <w:r/>
            <w:r>
              <w:rPr>
                <w:rFonts w:ascii="TH Sarabun New" w:hAnsi="TH Sarabun New" w:cs="TH Sarabun New" w:eastAsia="TH Sarabun New"/>
                <w:b w:val="0"/>
                <w:i w:val="0"/>
                <w:sz w:val="26"/>
                <w:szCs w:val="26"/>
              </w:rPr>
              <w:t>พ.ศ. 2570-2572</w:t>
            </w:r>
          </w:p>
        </w:tc>
        <w:tc>
          <w:tcPr>
            <w:tcW w:type="dxa" w:w="3855"/>
            <w:vAlign w:val="top"/>
          </w:tcPr>
          <w:p>
            <w:pPr>
              <w:spacing w:after="0" w:line="240" w:lineRule="auto"/>
              <w:jc w:val="left"/>
            </w:pPr>
            <w:r/>
            <w:r>
              <w:rPr>
                <w:rFonts w:ascii="TH Sarabun New" w:hAnsi="TH Sarabun New" w:cs="TH Sarabun New" w:eastAsia="TH Sarabun New"/>
                <w:b w:val="0"/>
                <w:i w:val="0"/>
                <w:sz w:val="26"/>
                <w:szCs w:val="26"/>
              </w:rPr>
              <w:t>ดำเนินการ 4 เสาหลักพร้อมกันในจังหวัดสมุทรปราการ · ศึกษาเปรียบเทียบก่อน-หลัง (Before-After)</w:t>
            </w:r>
          </w:p>
        </w:tc>
        <w:tc>
          <w:tcPr>
            <w:tcW w:type="dxa" w:w="1417"/>
            <w:vAlign w:val="top"/>
          </w:tcPr>
          <w:p>
            <w:pPr>
              <w:spacing w:after="0" w:line="240" w:lineRule="auto"/>
              <w:jc w:val="left"/>
            </w:pPr>
            <w:r/>
            <w:r>
              <w:rPr>
                <w:rFonts w:ascii="TH Sarabun New" w:hAnsi="TH Sarabun New" w:cs="TH Sarabun New" w:eastAsia="TH Sarabun New"/>
                <w:b w:val="0"/>
                <w:i w:val="0"/>
                <w:sz w:val="26"/>
                <w:szCs w:val="26"/>
              </w:rPr>
              <w:t>4,000-6,000</w:t>
            </w:r>
          </w:p>
        </w:tc>
      </w:tr>
      <w:tr>
        <w:trPr>
          <w:cantSplit/>
        </w:trPr>
        <w:tc>
          <w:tcPr>
            <w:tcW w:type="dxa" w:w="1531"/>
            <w:vAlign w:val="top"/>
          </w:tcPr>
          <w:p>
            <w:pPr>
              <w:spacing w:after="0" w:line="240" w:lineRule="auto"/>
              <w:jc w:val="left"/>
            </w:pPr>
            <w:r/>
            <w:r>
              <w:rPr>
                <w:rFonts w:ascii="TH Sarabun New" w:hAnsi="TH Sarabun New" w:cs="TH Sarabun New" w:eastAsia="TH Sarabun New"/>
                <w:b w:val="0"/>
                <w:i w:val="0"/>
                <w:sz w:val="26"/>
                <w:szCs w:val="26"/>
              </w:rPr>
              <w:t>ระยะที่ 3</w:t>
              <w:br/>
              <w:t>ขยายผล</w:t>
            </w:r>
          </w:p>
        </w:tc>
        <w:tc>
          <w:tcPr>
            <w:tcW w:type="dxa" w:w="1417"/>
            <w:vAlign w:val="top"/>
          </w:tcPr>
          <w:p>
            <w:pPr>
              <w:spacing w:after="0" w:line="240" w:lineRule="auto"/>
              <w:jc w:val="left"/>
            </w:pPr>
            <w:r/>
            <w:r>
              <w:rPr>
                <w:rFonts w:ascii="TH Sarabun New" w:hAnsi="TH Sarabun New" w:cs="TH Sarabun New" w:eastAsia="TH Sarabun New"/>
                <w:b w:val="0"/>
                <w:i w:val="0"/>
                <w:sz w:val="26"/>
                <w:szCs w:val="26"/>
              </w:rPr>
              <w:t>พ.ศ. 2572-2576</w:t>
            </w:r>
          </w:p>
        </w:tc>
        <w:tc>
          <w:tcPr>
            <w:tcW w:type="dxa" w:w="3855"/>
            <w:vAlign w:val="top"/>
          </w:tcPr>
          <w:p>
            <w:pPr>
              <w:spacing w:after="0" w:line="240" w:lineRule="auto"/>
              <w:jc w:val="left"/>
            </w:pPr>
            <w:r/>
            <w:r>
              <w:rPr>
                <w:rFonts w:ascii="TH Sarabun New" w:hAnsi="TH Sarabun New" w:cs="TH Sarabun New" w:eastAsia="TH Sarabun New"/>
                <w:b w:val="0"/>
                <w:i w:val="0"/>
                <w:sz w:val="26"/>
                <w:szCs w:val="26"/>
              </w:rPr>
              <w:t>ขยาย MaaS ไปจังหวัดอื่นและ กทม. · เริ่ม ERP/Parking Levy · ยกระดับ Complete Streets เป็นข้อบังคับ</w:t>
            </w:r>
          </w:p>
        </w:tc>
        <w:tc>
          <w:tcPr>
            <w:tcW w:type="dxa" w:w="1417"/>
            <w:vAlign w:val="top"/>
          </w:tcPr>
          <w:p>
            <w:pPr>
              <w:spacing w:after="0" w:line="240" w:lineRule="auto"/>
              <w:jc w:val="left"/>
            </w:pPr>
            <w:r/>
            <w:r>
              <w:rPr>
                <w:rFonts w:ascii="TH Sarabun New" w:hAnsi="TH Sarabun New" w:cs="TH Sarabun New" w:eastAsia="TH Sarabun New"/>
                <w:b w:val="0"/>
                <w:i w:val="0"/>
                <w:sz w:val="26"/>
                <w:szCs w:val="26"/>
              </w:rPr>
              <w:t>5,000-7,000</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เป้าหมายเมื่อสิ้นสุดระยะที่ 3 (พ.ศ. 2576) คือ สัดส่วนการเดินทางด้วยระบบขนส่งสาธารณะไม่น้อยกว่าร้อยละ 20 และลดการปล่อยก๊าซคาร์บอนไดออกไซด์จากภาคขนส่งเมืองลงร้อยละ 30</w:t>
      </w:r>
    </w:p>
    <w:p>
      <w:pPr>
        <w:keepNext/>
        <w:spacing w:before="160" w:after="40"/>
        <w:jc w:val="center"/>
      </w:pPr>
      <w:r>
        <w:drawing>
          <wp:inline xmlns:a="http://schemas.openxmlformats.org/drawingml/2006/main" xmlns:pic="http://schemas.openxmlformats.org/drawingml/2006/picture">
            <wp:extent cx="5400000" cy="2674953"/>
            <wp:docPr id="9" name="Picture 9"/>
            <wp:cNvGraphicFramePr>
              <a:graphicFrameLocks noChangeAspect="1"/>
            </wp:cNvGraphicFramePr>
            <a:graphic>
              <a:graphicData uri="http://schemas.openxmlformats.org/drawingml/2006/picture">
                <pic:pic>
                  <pic:nvPicPr>
                    <pic:cNvPr id="0" name="fig-roadmap.png"/>
                    <pic:cNvPicPr/>
                  </pic:nvPicPr>
                  <pic:blipFill>
                    <a:blip r:embed="rId19"/>
                    <a:stretch>
                      <a:fillRect/>
                    </a:stretch>
                  </pic:blipFill>
                  <pic:spPr>
                    <a:xfrm>
                      <a:off x="0" y="0"/>
                      <a:ext cx="5400000" cy="2674953"/>
                    </a:xfrm>
                    <a:prstGeom prst="rect"/>
                  </pic:spPr>
                </pic:pic>
              </a:graphicData>
            </a:graphic>
          </wp:inline>
        </w:drawing>
      </w:r>
    </w:p>
    <w:p>
      <w:pPr>
        <w:spacing w:after="160" w:line="240" w:lineRule="auto"/>
        <w:jc w:val="center"/>
      </w:pPr>
      <w:r>
        <w:rPr>
          <w:rFonts w:ascii="TH Sarabun New" w:hAnsi="TH Sarabun New" w:cs="TH Sarabun New" w:eastAsia="TH Sarabun New"/>
          <w:b/>
          <w:i w:val="0"/>
          <w:sz w:val="30"/>
          <w:szCs w:val="30"/>
        </w:rPr>
        <w:t>ภาพที่ 6  แผนการดำเนินงานระยะยาว 10 ปี แบ่งเป็น 3 ระยะ</w:t>
      </w:r>
    </w:p>
    <w:p>
      <w:pPr>
        <w:keepNext/>
        <w:spacing w:before="200" w:after="80" w:line="240" w:lineRule="auto"/>
      </w:pPr>
      <w:r>
        <w:rPr>
          <w:rFonts w:ascii="TH Sarabun New" w:hAnsi="TH Sarabun New" w:cs="TH Sarabun New" w:eastAsia="TH Sarabun New"/>
          <w:b/>
          <w:i w:val="0"/>
          <w:color w:val="1F3D6E"/>
          <w:sz w:val="32"/>
          <w:szCs w:val="32"/>
        </w:rPr>
        <w:t>4.4 งบประมาณและการวิเคราะห์ความคุ้มค่า (Benefit-Cost Ratio)</w:t>
      </w:r>
    </w:p>
    <w:p>
      <w:pPr>
        <w:spacing w:line="240" w:lineRule="auto" w:after="0"/>
        <w:ind w:firstLine="720"/>
        <w:jc w:val="left"/>
      </w:pPr>
      <w:r>
        <w:rPr>
          <w:rFonts w:ascii="TH Sarabun New" w:hAnsi="TH Sarabun New" w:cs="TH Sarabun New" w:eastAsia="TH Sarabun New"/>
          <w:b w:val="0"/>
          <w:i w:val="0"/>
          <w:sz w:val="32"/>
          <w:szCs w:val="32"/>
        </w:rPr>
        <w:t>งบประมาณรวมตลอด 10 ปี ประมาณการที่ 12,000 ล้านบาท (ค่ากลาง) คิดเป็นเพียงร้อยละ 0.5 ของงบประมาณกระทรวงคมนาคม 10 ปี โดยมีรายละเอียดการลงทุนจำแนกตามเสาหลัก และมีแหล่งรายได้ใหม่จากมาตรการทางเศรษฐศาสตร์มาสนับสนุน ดังตาราง</w:t>
      </w:r>
    </w:p>
    <w:p>
      <w:pPr>
        <w:keepNext/>
        <w:spacing w:before="200" w:after="40" w:line="240" w:lineRule="auto"/>
        <w:jc w:val="center"/>
      </w:pPr>
      <w:r>
        <w:rPr>
          <w:rFonts w:ascii="TH Sarabun New" w:hAnsi="TH Sarabun New" w:cs="TH Sarabun New" w:eastAsia="TH Sarabun New"/>
          <w:b/>
          <w:i w:val="0"/>
          <w:sz w:val="30"/>
          <w:szCs w:val="30"/>
        </w:rPr>
        <w:t>ตารางที่ 10  ประมาณการงบประมาณการลงทุนจำแนกตามเสาหลัก (10 ปี)</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5953"/>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รายการลงทุน (10 ปี)</w:t>
            </w:r>
          </w:p>
        </w:tc>
        <w:tc>
          <w:tcPr>
            <w:tcW w:type="dxa" w:w="226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งบประมาณ (ล้านบาท)</w:t>
            </w:r>
          </w:p>
        </w:tc>
      </w:tr>
      <w:tr>
        <w:trPr>
          <w:cantSplit/>
        </w:trPr>
        <w:tc>
          <w:tcPr>
            <w:tcW w:type="dxa" w:w="5953"/>
            <w:vAlign w:val="top"/>
          </w:tcPr>
          <w:p>
            <w:pPr>
              <w:spacing w:after="0" w:line="240" w:lineRule="auto"/>
              <w:jc w:val="left"/>
            </w:pPr>
            <w:r/>
            <w:r>
              <w:rPr>
                <w:rFonts w:ascii="TH Sarabun New" w:hAnsi="TH Sarabun New" w:cs="TH Sarabun New" w:eastAsia="TH Sarabun New"/>
                <w:b w:val="0"/>
                <w:i w:val="0"/>
                <w:sz w:val="26"/>
                <w:szCs w:val="26"/>
              </w:rPr>
              <w:t>เสาหลักที่ 1 ระบบตั๋วร่วม + NTCH + ระบบกลาง</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2,000-3,000</w:t>
            </w:r>
          </w:p>
        </w:tc>
      </w:tr>
      <w:tr>
        <w:trPr>
          <w:cantSplit/>
        </w:trPr>
        <w:tc>
          <w:tcPr>
            <w:tcW w:type="dxa" w:w="5953"/>
            <w:vAlign w:val="top"/>
          </w:tcPr>
          <w:p>
            <w:pPr>
              <w:spacing w:after="0" w:line="240" w:lineRule="auto"/>
              <w:jc w:val="left"/>
            </w:pPr>
            <w:r/>
            <w:r>
              <w:rPr>
                <w:rFonts w:ascii="TH Sarabun New" w:hAnsi="TH Sarabun New" w:cs="TH Sarabun New" w:eastAsia="TH Sarabun New"/>
                <w:b w:val="0"/>
                <w:i w:val="0"/>
                <w:sz w:val="26"/>
                <w:szCs w:val="26"/>
              </w:rPr>
              <w:t>เสาหลักที่ 2 แพลตฟอร์ม MaaS + ระบบข้อมูล</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1,500-2,500</w:t>
            </w:r>
          </w:p>
        </w:tc>
      </w:tr>
      <w:tr>
        <w:trPr>
          <w:cantSplit/>
        </w:trPr>
        <w:tc>
          <w:tcPr>
            <w:tcW w:type="dxa" w:w="5953"/>
            <w:vAlign w:val="top"/>
          </w:tcPr>
          <w:p>
            <w:pPr>
              <w:spacing w:after="0" w:line="240" w:lineRule="auto"/>
              <w:jc w:val="left"/>
            </w:pPr>
            <w:r/>
            <w:r>
              <w:rPr>
                <w:rFonts w:ascii="TH Sarabun New" w:hAnsi="TH Sarabun New" w:cs="TH Sarabun New" w:eastAsia="TH Sarabun New"/>
                <w:b w:val="0"/>
                <w:i w:val="0"/>
                <w:sz w:val="26"/>
                <w:szCs w:val="26"/>
              </w:rPr>
              <w:t>เสาหลักที่ 3 Complete Streets + Park &amp; Ride</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6,000-9,000</w:t>
            </w:r>
          </w:p>
        </w:tc>
      </w:tr>
      <w:tr>
        <w:trPr>
          <w:cantSplit/>
        </w:trPr>
        <w:tc>
          <w:tcPr>
            <w:tcW w:type="dxa" w:w="5953"/>
            <w:vAlign w:val="top"/>
          </w:tcPr>
          <w:p>
            <w:pPr>
              <w:spacing w:after="0" w:line="240" w:lineRule="auto"/>
              <w:jc w:val="left"/>
            </w:pPr>
            <w:r/>
            <w:r>
              <w:rPr>
                <w:rFonts w:ascii="TH Sarabun New" w:hAnsi="TH Sarabun New" w:cs="TH Sarabun New" w:eastAsia="TH Sarabun New"/>
                <w:b w:val="0"/>
                <w:i w:val="0"/>
                <w:sz w:val="26"/>
                <w:szCs w:val="26"/>
              </w:rPr>
              <w:t>เสาหลักที่ 4 ระบบจัดเก็บภาษี/ค่าธรรมเนียม + การบริหาร</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1,000-1,500</w:t>
            </w:r>
          </w:p>
        </w:tc>
      </w:tr>
      <w:tr>
        <w:trPr>
          <w:cantSplit/>
        </w:trPr>
        <w:tc>
          <w:tcPr>
            <w:tcW w:type="dxa" w:w="5953"/>
            <w:vAlign w:val="top"/>
          </w:tcPr>
          <w:p>
            <w:pPr>
              <w:spacing w:after="0" w:line="240" w:lineRule="auto"/>
              <w:jc w:val="left"/>
            </w:pPr>
            <w:r/>
            <w:r>
              <w:rPr>
                <w:rFonts w:ascii="TH Sarabun New" w:hAnsi="TH Sarabun New" w:cs="TH Sarabun New" w:eastAsia="TH Sarabun New"/>
                <w:b w:val="0"/>
                <w:i w:val="0"/>
                <w:sz w:val="26"/>
                <w:szCs w:val="26"/>
              </w:rPr>
              <w:t>รวมประมาณการ (ค่ากลาง)</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 12,000</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ในด้านรายได้ คณะผู้จัดทำประเมินรายได้ใหม่จาก 4 มาตรการทางเศรษฐศาสตร์ รวมประมาณ 27,000-42,000 ล้านบาทต่อปี ดังตาราง</w:t>
      </w:r>
    </w:p>
    <w:p>
      <w:pPr>
        <w:keepNext/>
        <w:spacing w:before="200" w:after="40" w:line="240" w:lineRule="auto"/>
        <w:jc w:val="center"/>
      </w:pPr>
      <w:r>
        <w:rPr>
          <w:rFonts w:ascii="TH Sarabun New" w:hAnsi="TH Sarabun New" w:cs="TH Sarabun New" w:eastAsia="TH Sarabun New"/>
          <w:b/>
          <w:i w:val="0"/>
          <w:sz w:val="30"/>
          <w:szCs w:val="30"/>
        </w:rPr>
        <w:t>ตารางที่ 11  ประมาณการรายได้ใหม่จากมาตรการทางเศรษฐศาสตร์ (ต่อปี)</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5953"/>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มาตรการสร้างรายได้</w:t>
            </w:r>
          </w:p>
        </w:tc>
        <w:tc>
          <w:tcPr>
            <w:tcW w:type="dxa" w:w="226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รายได้ประมาณการ (ล้านบาท/ปี)</w:t>
            </w:r>
          </w:p>
        </w:tc>
      </w:tr>
      <w:tr>
        <w:trPr>
          <w:cantSplit/>
        </w:trPr>
        <w:tc>
          <w:tcPr>
            <w:tcW w:type="dxa" w:w="5953"/>
            <w:vAlign w:val="top"/>
          </w:tcPr>
          <w:p>
            <w:pPr>
              <w:spacing w:after="0" w:line="240" w:lineRule="auto"/>
              <w:jc w:val="left"/>
            </w:pPr>
            <w:r/>
            <w:r>
              <w:rPr>
                <w:rFonts w:ascii="TH Sarabun New" w:hAnsi="TH Sarabun New" w:cs="TH Sarabun New" w:eastAsia="TH Sarabun New"/>
                <w:b w:val="0"/>
                <w:i w:val="0"/>
                <w:sz w:val="26"/>
                <w:szCs w:val="26"/>
              </w:rPr>
              <w:t>ภาษีรถยนต์แบบอิงพื้นที่ (Zone-based)</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8,000-12,000</w:t>
            </w:r>
          </w:p>
        </w:tc>
      </w:tr>
      <w:tr>
        <w:trPr>
          <w:cantSplit/>
        </w:trPr>
        <w:tc>
          <w:tcPr>
            <w:tcW w:type="dxa" w:w="5953"/>
            <w:vAlign w:val="top"/>
          </w:tcPr>
          <w:p>
            <w:pPr>
              <w:spacing w:after="0" w:line="240" w:lineRule="auto"/>
              <w:jc w:val="left"/>
            </w:pPr>
            <w:r/>
            <w:r>
              <w:rPr>
                <w:rFonts w:ascii="TH Sarabun New" w:hAnsi="TH Sarabun New" w:cs="TH Sarabun New" w:eastAsia="TH Sarabun New"/>
                <w:b w:val="0"/>
                <w:i w:val="0"/>
                <w:sz w:val="26"/>
                <w:szCs w:val="26"/>
              </w:rPr>
              <w:t>ค่าธรรมเนียมที่จอดรถในสถานประกอบการ (Workplace Parking Levy)</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3,000-5,000</w:t>
            </w:r>
          </w:p>
        </w:tc>
      </w:tr>
      <w:tr>
        <w:trPr>
          <w:cantSplit/>
        </w:trPr>
        <w:tc>
          <w:tcPr>
            <w:tcW w:type="dxa" w:w="5953"/>
            <w:vAlign w:val="top"/>
          </w:tcPr>
          <w:p>
            <w:pPr>
              <w:spacing w:after="0" w:line="240" w:lineRule="auto"/>
              <w:jc w:val="left"/>
            </w:pPr>
            <w:r/>
            <w:r>
              <w:rPr>
                <w:rFonts w:ascii="TH Sarabun New" w:hAnsi="TH Sarabun New" w:cs="TH Sarabun New" w:eastAsia="TH Sarabun New"/>
                <w:b w:val="0"/>
                <w:i w:val="0"/>
                <w:sz w:val="26"/>
                <w:szCs w:val="26"/>
              </w:rPr>
              <w:t>ค่าผ่านทางอิเล็กทรอนิกส์ในเขตเมืองชั้นใน (ERP)</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10,000-15,000</w:t>
            </w:r>
          </w:p>
        </w:tc>
      </w:tr>
      <w:tr>
        <w:trPr>
          <w:cantSplit/>
        </w:trPr>
        <w:tc>
          <w:tcPr>
            <w:tcW w:type="dxa" w:w="5953"/>
            <w:vAlign w:val="top"/>
          </w:tcPr>
          <w:p>
            <w:pPr>
              <w:spacing w:after="0" w:line="240" w:lineRule="auto"/>
              <w:jc w:val="left"/>
            </w:pPr>
            <w:r/>
            <w:r>
              <w:rPr>
                <w:rFonts w:ascii="TH Sarabun New" w:hAnsi="TH Sarabun New" w:cs="TH Sarabun New" w:eastAsia="TH Sarabun New"/>
                <w:b w:val="0"/>
                <w:i w:val="0"/>
                <w:sz w:val="26"/>
                <w:szCs w:val="26"/>
              </w:rPr>
              <w:t>ค่าธรรมเนียมการขนส่งจากสถานประกอบการ (Versement Mobilité)</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6,000-10,000</w:t>
            </w:r>
          </w:p>
        </w:tc>
      </w:tr>
      <w:tr>
        <w:trPr>
          <w:cantSplit/>
        </w:trPr>
        <w:tc>
          <w:tcPr>
            <w:tcW w:type="dxa" w:w="5953"/>
            <w:vAlign w:val="top"/>
          </w:tcPr>
          <w:p>
            <w:pPr>
              <w:spacing w:after="0" w:line="240" w:lineRule="auto"/>
              <w:jc w:val="left"/>
            </w:pPr>
            <w:r/>
            <w:r>
              <w:rPr>
                <w:rFonts w:ascii="TH Sarabun New" w:hAnsi="TH Sarabun New" w:cs="TH Sarabun New" w:eastAsia="TH Sarabun New"/>
                <w:b w:val="0"/>
                <w:i w:val="0"/>
                <w:sz w:val="26"/>
                <w:szCs w:val="26"/>
              </w:rPr>
              <w:t>รวมรายได้ใหม่</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27,000-42,000</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จากการวิเคราะห์ อัตราส่วนผลตอบแทนต่อต้นทุน (Benefit-Cost Ratio: BCR) อยู่ในระดับ 8-12 เท่า ภายใต้สมมุติฐานที่กำหนด โดยนับรวมผลประโยชน์จากการประหยัดเวลาเดินทาง การลดต้นทุนเชื้อเพลิง การลดมลพิษและก๊าซเรือนกระจก และการลดอุบัติเหตุ ทั้งนี้ รายได้ใหม่ที่เกิดขึ้นสามารถนำกลับมาลงทุนหมุนเวียนในระบบขนส่งสาธารณะ (Ring-fencing) เพื่อความยั่งยืนทางการเงินในระยะยาว</w:t>
      </w:r>
    </w:p>
    <w:p>
      <w:pPr>
        <w:keepNext/>
        <w:spacing w:before="160" w:after="40"/>
        <w:jc w:val="center"/>
      </w:pPr>
      <w:r>
        <w:drawing>
          <wp:inline xmlns:a="http://schemas.openxmlformats.org/drawingml/2006/main" xmlns:pic="http://schemas.openxmlformats.org/drawingml/2006/picture">
            <wp:extent cx="4860000" cy="2734367"/>
            <wp:docPr id="10" name="Picture 10"/>
            <wp:cNvGraphicFramePr>
              <a:graphicFrameLocks noChangeAspect="1"/>
            </wp:cNvGraphicFramePr>
            <a:graphic>
              <a:graphicData uri="http://schemas.openxmlformats.org/drawingml/2006/picture">
                <pic:pic>
                  <pic:nvPicPr>
                    <pic:cNvPr id="0" name="fig-finance.png"/>
                    <pic:cNvPicPr/>
                  </pic:nvPicPr>
                  <pic:blipFill>
                    <a:blip r:embed="rId20"/>
                    <a:stretch>
                      <a:fillRect/>
                    </a:stretch>
                  </pic:blipFill>
                  <pic:spPr>
                    <a:xfrm>
                      <a:off x="0" y="0"/>
                      <a:ext cx="4860000" cy="2734367"/>
                    </a:xfrm>
                    <a:prstGeom prst="rect"/>
                  </pic:spPr>
                </pic:pic>
              </a:graphicData>
            </a:graphic>
          </wp:inline>
        </w:drawing>
      </w:r>
    </w:p>
    <w:p>
      <w:pPr>
        <w:spacing w:after="160" w:line="240" w:lineRule="auto"/>
        <w:jc w:val="center"/>
      </w:pPr>
      <w:r>
        <w:rPr>
          <w:rFonts w:ascii="TH Sarabun New" w:hAnsi="TH Sarabun New" w:cs="TH Sarabun New" w:eastAsia="TH Sarabun New"/>
          <w:b/>
          <w:i w:val="0"/>
          <w:sz w:val="30"/>
          <w:szCs w:val="30"/>
        </w:rPr>
        <w:t>ภาพที่ 7  เปรียบเทียบเงินลงทุนกับรายได้ใหม่จากมาตรการทางเศรษฐศาสตร์</w:t>
      </w:r>
    </w:p>
    <w:p>
      <w:pPr>
        <w:spacing w:line="240" w:lineRule="auto" w:after="0"/>
        <w:ind w:firstLine="720"/>
        <w:jc w:val="left"/>
      </w:pPr>
      <w:r>
        <w:rPr>
          <w:rFonts w:ascii="TH Sarabun New" w:hAnsi="TH Sarabun New" w:cs="TH Sarabun New" w:eastAsia="TH Sarabun New"/>
          <w:b w:val="0"/>
          <w:i w:val="0"/>
          <w:sz w:val="32"/>
          <w:szCs w:val="32"/>
        </w:rPr>
        <w:t>จุดเด่นเชิงการเงินของข้อเสนอนี้คือการออกแบบให้โครงการ "เลี้ยงตัวเองได้" (Self-financing) ในระยะกลางถึงยาว กล่าวคือ รายได้ใหม่จากมาตรการทางเศรษฐศาสตร์มีมูลค่าสูงกว่าเงินลงทุนรายปีหลายเท่า ทำให้สามารถนำส่วนเกินกลับมาลงทุนหมุนเวียนในระบบขนส่งสาธารณะ ลดอุดหนุนค่าโดยสาร และพัฒนาบริการให้ดีขึ้นอย่างต่อเนื่อง ทั้งนี้ การจัดสรรรายได้ต้องมีกลไกที่โปร่งใสและตรวจสอบได้ เพื่อสร้างความเชื่อมั่นแก่ประชาชนและผู้เสียภาษี</w:t>
      </w:r>
    </w:p>
    <w:p>
      <w:pPr>
        <w:keepNext/>
        <w:spacing w:before="200" w:after="80" w:line="240" w:lineRule="auto"/>
      </w:pPr>
      <w:r>
        <w:rPr>
          <w:rFonts w:ascii="TH Sarabun New" w:hAnsi="TH Sarabun New" w:cs="TH Sarabun New" w:eastAsia="TH Sarabun New"/>
          <w:b/>
          <w:i w:val="0"/>
          <w:color w:val="1F3D6E"/>
          <w:sz w:val="32"/>
          <w:szCs w:val="32"/>
        </w:rPr>
        <w:t>4.5 ปัจจัยแห่งความสำเร็จและการบริหารความเสี่ยง</w:t>
      </w:r>
    </w:p>
    <w:p>
      <w:pPr>
        <w:spacing w:line="240" w:lineRule="auto" w:after="0"/>
        <w:ind w:firstLine="720"/>
        <w:jc w:val="left"/>
      </w:pPr>
      <w:r>
        <w:rPr>
          <w:rFonts w:ascii="TH Sarabun New" w:hAnsi="TH Sarabun New" w:cs="TH Sarabun New" w:eastAsia="TH Sarabun New"/>
          <w:b w:val="0"/>
          <w:i w:val="0"/>
          <w:sz w:val="32"/>
          <w:szCs w:val="32"/>
        </w:rPr>
        <w:t>ปัจจัยแห่งความสำเร็จที่สำคัญ ได้แก่ การมีกรอบกฎหมายบังคับ (พ.ร.บ. ตั๋วร่วม 2568) การมีหน่วยงานกลางที่เป็นกลาง (NTCH) การดำเนินการ 4 เสาหลักพร้อมกัน ความต่อเนื่องเชิงนโยบาย และการพิสูจน์ผลด้วยข้อมูลเชิงประจักษ์ก่อนขยายผล อย่างไรก็ตาม โครงการมีความเสี่ยงสำคัญ 5 ประการที่ต้องบริหารจัดการ ดังตาราง</w:t>
      </w:r>
    </w:p>
    <w:p>
      <w:pPr>
        <w:keepNext/>
        <w:spacing w:before="200" w:after="40" w:line="240" w:lineRule="auto"/>
        <w:jc w:val="center"/>
      </w:pPr>
      <w:r>
        <w:rPr>
          <w:rFonts w:ascii="TH Sarabun New" w:hAnsi="TH Sarabun New" w:cs="TH Sarabun New" w:eastAsia="TH Sarabun New"/>
          <w:b/>
          <w:i w:val="0"/>
          <w:sz w:val="30"/>
          <w:szCs w:val="30"/>
        </w:rPr>
        <w:t>ตารางที่ 12  ความเสี่ยงสำคัญและแผนบริหารความเสี่ยง</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311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ความเสี่ยง</w:t>
            </w:r>
          </w:p>
        </w:tc>
        <w:tc>
          <w:tcPr>
            <w:tcW w:type="dxa" w:w="1020"/>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ระดับ</w:t>
            </w:r>
          </w:p>
        </w:tc>
        <w:tc>
          <w:tcPr>
            <w:tcW w:type="dxa" w:w="4082"/>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แผนรับมือ</w:t>
            </w:r>
          </w:p>
        </w:tc>
      </w:tr>
      <w:tr>
        <w:trPr>
          <w:cantSplit/>
        </w:trPr>
        <w:tc>
          <w:tcPr>
            <w:tcW w:type="dxa" w:w="3118"/>
            <w:vAlign w:val="top"/>
          </w:tcPr>
          <w:p>
            <w:pPr>
              <w:spacing w:after="0" w:line="240" w:lineRule="auto"/>
              <w:jc w:val="left"/>
            </w:pPr>
            <w:r/>
            <w:r>
              <w:rPr>
                <w:rFonts w:ascii="TH Sarabun New" w:hAnsi="TH Sarabun New" w:cs="TH Sarabun New" w:eastAsia="TH Sarabun New"/>
                <w:b w:val="0"/>
                <w:i w:val="0"/>
                <w:sz w:val="26"/>
                <w:szCs w:val="26"/>
              </w:rPr>
              <w:t>1) ผู้ให้บริการเอกชนไม่ยอมเข้าระบบ (Turf War)</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สูง</w:t>
            </w:r>
          </w:p>
        </w:tc>
        <w:tc>
          <w:tcPr>
            <w:tcW w:type="dxa" w:w="4082"/>
            <w:vAlign w:val="top"/>
          </w:tcPr>
          <w:p>
            <w:pPr>
              <w:spacing w:after="0" w:line="240" w:lineRule="auto"/>
              <w:jc w:val="left"/>
            </w:pPr>
            <w:r/>
            <w:r>
              <w:rPr>
                <w:rFonts w:ascii="TH Sarabun New" w:hAnsi="TH Sarabun New" w:cs="TH Sarabun New" w:eastAsia="TH Sarabun New"/>
                <w:b w:val="0"/>
                <w:i w:val="0"/>
                <w:sz w:val="26"/>
                <w:szCs w:val="26"/>
              </w:rPr>
              <w:t>ผูกกับสัญญาสัมปทานที่จะหมดอายุ และบังคับด้วย พ.ร.บ. ตั๋วร่วม 2568</w:t>
            </w:r>
          </w:p>
        </w:tc>
      </w:tr>
      <w:tr>
        <w:trPr>
          <w:cantSplit/>
        </w:trPr>
        <w:tc>
          <w:tcPr>
            <w:tcW w:type="dxa" w:w="3118"/>
            <w:vAlign w:val="top"/>
          </w:tcPr>
          <w:p>
            <w:pPr>
              <w:spacing w:after="0" w:line="240" w:lineRule="auto"/>
              <w:jc w:val="left"/>
            </w:pPr>
            <w:r/>
            <w:r>
              <w:rPr>
                <w:rFonts w:ascii="TH Sarabun New" w:hAnsi="TH Sarabun New" w:cs="TH Sarabun New" w:eastAsia="TH Sarabun New"/>
                <w:b w:val="0"/>
                <w:i w:val="0"/>
                <w:sz w:val="26"/>
                <w:szCs w:val="26"/>
              </w:rPr>
              <w:t>2) MaaS App ล้มเหลว (แบบ Whim Helsinki)</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สูง</w:t>
            </w:r>
          </w:p>
        </w:tc>
        <w:tc>
          <w:tcPr>
            <w:tcW w:type="dxa" w:w="4082"/>
            <w:vAlign w:val="top"/>
          </w:tcPr>
          <w:p>
            <w:pPr>
              <w:spacing w:after="0" w:line="240" w:lineRule="auto"/>
              <w:jc w:val="left"/>
            </w:pPr>
            <w:r/>
            <w:r>
              <w:rPr>
                <w:rFonts w:ascii="TH Sarabun New" w:hAnsi="TH Sarabun New" w:cs="TH Sarabun New" w:eastAsia="TH Sarabun New"/>
                <w:b w:val="0"/>
                <w:i w:val="0"/>
                <w:sz w:val="26"/>
                <w:szCs w:val="26"/>
              </w:rPr>
              <w:t>ใช้โมเดล Public-led ตาม Berlin Jelbi · จ่ายตามการใช้จริง (pay-as-you-go)</w:t>
            </w:r>
          </w:p>
        </w:tc>
      </w:tr>
      <w:tr>
        <w:trPr>
          <w:cantSplit/>
        </w:trPr>
        <w:tc>
          <w:tcPr>
            <w:tcW w:type="dxa" w:w="3118"/>
            <w:vAlign w:val="top"/>
          </w:tcPr>
          <w:p>
            <w:pPr>
              <w:spacing w:after="0" w:line="240" w:lineRule="auto"/>
              <w:jc w:val="left"/>
            </w:pPr>
            <w:r/>
            <w:r>
              <w:rPr>
                <w:rFonts w:ascii="TH Sarabun New" w:hAnsi="TH Sarabun New" w:cs="TH Sarabun New" w:eastAsia="TH Sarabun New"/>
                <w:b w:val="0"/>
                <w:i w:val="0"/>
                <w:sz w:val="26"/>
                <w:szCs w:val="26"/>
              </w:rPr>
              <w:t>3) เปลี่ยนรัฐบาล/รัฐมนตรี นโยบายไม่ต่อเนื่อง</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วิกฤต</w:t>
            </w:r>
          </w:p>
        </w:tc>
        <w:tc>
          <w:tcPr>
            <w:tcW w:type="dxa" w:w="4082"/>
            <w:vAlign w:val="top"/>
          </w:tcPr>
          <w:p>
            <w:pPr>
              <w:spacing w:after="0" w:line="240" w:lineRule="auto"/>
              <w:jc w:val="left"/>
            </w:pPr>
            <w:r/>
            <w:r>
              <w:rPr>
                <w:rFonts w:ascii="TH Sarabun New" w:hAnsi="TH Sarabun New" w:cs="TH Sarabun New" w:eastAsia="TH Sarabun New"/>
                <w:b w:val="0"/>
                <w:i w:val="0"/>
                <w:sz w:val="26"/>
                <w:szCs w:val="26"/>
              </w:rPr>
              <w:t>บรรจุในกฎหมายลำดับรอง · Quick Win ภายใน 1 ปี · ผูกกับงบประมาณประจำปี</w:t>
            </w:r>
          </w:p>
        </w:tc>
      </w:tr>
      <w:tr>
        <w:trPr>
          <w:cantSplit/>
        </w:trPr>
        <w:tc>
          <w:tcPr>
            <w:tcW w:type="dxa" w:w="3118"/>
            <w:vAlign w:val="top"/>
          </w:tcPr>
          <w:p>
            <w:pPr>
              <w:spacing w:after="0" w:line="240" w:lineRule="auto"/>
              <w:jc w:val="left"/>
            </w:pPr>
            <w:r/>
            <w:r>
              <w:rPr>
                <w:rFonts w:ascii="TH Sarabun New" w:hAnsi="TH Sarabun New" w:cs="TH Sarabun New" w:eastAsia="TH Sarabun New"/>
                <w:b w:val="0"/>
                <w:i w:val="0"/>
                <w:sz w:val="26"/>
                <w:szCs w:val="26"/>
              </w:rPr>
              <w:t>4) ข้อมูลรั่วไหล (PDPA/Cybersecurity)</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วิกฤต</w:t>
            </w:r>
          </w:p>
        </w:tc>
        <w:tc>
          <w:tcPr>
            <w:tcW w:type="dxa" w:w="4082"/>
            <w:vAlign w:val="top"/>
          </w:tcPr>
          <w:p>
            <w:pPr>
              <w:spacing w:after="0" w:line="240" w:lineRule="auto"/>
              <w:jc w:val="left"/>
            </w:pPr>
            <w:r/>
            <w:r>
              <w:rPr>
                <w:rFonts w:ascii="TH Sarabun New" w:hAnsi="TH Sarabun New" w:cs="TH Sarabun New" w:eastAsia="TH Sarabun New"/>
                <w:b w:val="0"/>
                <w:i w:val="0"/>
                <w:sz w:val="26"/>
                <w:szCs w:val="26"/>
              </w:rPr>
              <w:t>Privacy by Design · ISO 27001 · แต่งตั้ง DPO · ทดสอบเจาะระบบทุก 6 เดือน</w:t>
            </w:r>
          </w:p>
        </w:tc>
      </w:tr>
      <w:tr>
        <w:trPr>
          <w:cantSplit/>
        </w:trPr>
        <w:tc>
          <w:tcPr>
            <w:tcW w:type="dxa" w:w="3118"/>
            <w:vAlign w:val="top"/>
          </w:tcPr>
          <w:p>
            <w:pPr>
              <w:spacing w:after="0" w:line="240" w:lineRule="auto"/>
              <w:jc w:val="left"/>
            </w:pPr>
            <w:r/>
            <w:r>
              <w:rPr>
                <w:rFonts w:ascii="TH Sarabun New" w:hAnsi="TH Sarabun New" w:cs="TH Sarabun New" w:eastAsia="TH Sarabun New"/>
                <w:b w:val="0"/>
                <w:i w:val="0"/>
                <w:sz w:val="26"/>
                <w:szCs w:val="26"/>
              </w:rPr>
              <w:t>5) ประชาชนต่อต้านการเปลี่ยนแปลง</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กลาง</w:t>
            </w:r>
          </w:p>
        </w:tc>
        <w:tc>
          <w:tcPr>
            <w:tcW w:type="dxa" w:w="4082"/>
            <w:vAlign w:val="top"/>
          </w:tcPr>
          <w:p>
            <w:pPr>
              <w:spacing w:after="0" w:line="240" w:lineRule="auto"/>
              <w:jc w:val="left"/>
            </w:pPr>
            <w:r/>
            <w:r>
              <w:rPr>
                <w:rFonts w:ascii="TH Sarabun New" w:hAnsi="TH Sarabun New" w:cs="TH Sarabun New" w:eastAsia="TH Sarabun New"/>
                <w:b w:val="0"/>
                <w:i w:val="0"/>
                <w:sz w:val="26"/>
                <w:szCs w:val="26"/>
              </w:rPr>
              <w:t>ใช้หลัก "พิสูจน์ให้เห็น" ผ่านพื้นที่นำร่องสมุทรปราการ · คงระบบเดิมคู่ขนาน 5 ปี</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ความเสี่ยงที่คณะผู้จัดทำประเมินว่ามีระดับวิกฤตและต้องเฝ้าระวังเป็นพิเศษ 2 ประการแรก คือ ความเสี่ยงด้านความต่อเนื่องเชิงนโยบาย และความเสี่ยงด้านความมั่นคงปลอดภัยของข้อมูล สำหรับความเสี่ยงด้านนโยบาย แม้จะมีพระราชบัญญัติตั๋วร่วมเป็นกรอบ แต่การออกกฎหมายลำดับรอง การจัดสรรงบประมาณ และการขับเคลื่อนยังขึ้นอยู่กับฝ่ายบริหาร การบริหารความเสี่ยงนี้จึงต้องอาศัยการสร้างฉันทามติข้ามพรรคการเมือง การบรรจุไว้ในแผนระดับชาติ และการสร้างผลสำเร็จระยะสั้น (Quick Win) ที่จับต้องได้ เพื่อให้นโยบายมีแรงสนับสนุนจากประชาชนอย่างต่อเนื่อง</w:t>
      </w:r>
    </w:p>
    <w:p>
      <w:pPr>
        <w:spacing w:line="240" w:lineRule="auto" w:after="0"/>
        <w:ind w:firstLine="720"/>
        <w:jc w:val="left"/>
      </w:pPr>
      <w:r>
        <w:rPr>
          <w:rFonts w:ascii="TH Sarabun New" w:hAnsi="TH Sarabun New" w:cs="TH Sarabun New" w:eastAsia="TH Sarabun New"/>
          <w:b w:val="0"/>
          <w:i w:val="0"/>
          <w:sz w:val="32"/>
          <w:szCs w:val="32"/>
        </w:rPr>
        <w:t>สำหรับความเสี่ยงด้านข้อมูล ระบบ MaaS และตั๋วร่วมรวบรวมข้อมูลการเดินทางที่อ่อนไหว หากเกิดการรั่วไหลจะกระทบต่อความเชื่อมั่นอย่างรุนแรง การบริหารความเสี่ยงต้องดำเนินการเชิงรุกตั้งแต่การออกแบบ (Privacy by Design) การเข้ารหัสข้อมูล การจำกัดสิทธิ์การเข้าถึง การรับรองมาตรฐาน ISO/IEC 27001 และการทดสอบเจาะระบบอย่างสม่ำเสมอ ภายใต้การกำกับของเจ้าหน้าที่คุ้มครองข้อมูลส่วนบุคคล (DPO) ระดับกระทรวง</w:t>
      </w:r>
    </w:p>
    <w:p>
      <w:pPr>
        <w:spacing w:line="240" w:lineRule="auto" w:after="0"/>
        <w:ind w:firstLine="720"/>
        <w:jc w:val="left"/>
      </w:pPr>
      <w:r>
        <w:rPr>
          <w:rFonts w:ascii="TH Sarabun New" w:hAnsi="TH Sarabun New" w:cs="TH Sarabun New" w:eastAsia="TH Sarabun New"/>
          <w:b w:val="0"/>
          <w:i w:val="0"/>
          <w:sz w:val="32"/>
          <w:szCs w:val="32"/>
        </w:rPr>
        <w:t>ส่วนความเสี่ยงด้านการต่อต้านจากผู้ให้บริการเดิม (Turf War) คณะผู้จัดทำเสนอให้ใช้กลไกทางกฎหมายควบคู่กับแรงจูงใจเชิงบวก กล่าวคือ บังคับให้เข้าระบบกลางตามพระราชบัญญัติตั๋วร่วม ขณะเดียวกันก็ให้ผู้ให้บริการมีส่วนร่วมเป็นเจ้าของ NTCH และได้รับประโยชน์จากฐานผู้โดยสารที่เพิ่มขึ้น เพื่อเปลี่ยนจากคู่แข่งเป็นพันธมิตร และความเสี่ยงด้านการต่อต้านการเปลี่ยนแปลงของประชาชน บริหารจัดการด้วยหลัก "พิสูจน์ให้เห็น" ผ่านพื้นที่นำร่อง และการคงระบบเดิมคู่ขนาน เพื่อให้ประชาชนปรับตัวได้อย่างค่อยเป็นค่อยไป</w:t>
      </w:r>
    </w:p>
    <w:p>
      <w:pPr>
        <w:spacing w:line="240" w:lineRule="auto" w:after="0"/>
        <w:ind w:firstLine="720"/>
        <w:jc w:val="left"/>
      </w:pPr>
      <w:r>
        <w:rPr>
          <w:rFonts w:ascii="TH Sarabun New" w:hAnsi="TH Sarabun New" w:cs="TH Sarabun New" w:eastAsia="TH Sarabun New"/>
          <w:b w:val="0"/>
          <w:i w:val="0"/>
          <w:sz w:val="32"/>
          <w:szCs w:val="32"/>
        </w:rPr>
        <w:t>ยุทธศาสตร์การบริหารการเปลี่ยนแปลงที่เป็นกุญแจสำคัญของความสำเร็จคือหลักการ "Public-Led + Phased + Coexist" ซึ่งประกอบด้วยหลักการย่อย 5 ประการ ดังนี้</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ภาครัฐเป็นผู้นำ (Public-Led) — ให้หน่วยงานกลางที่เป็นกลาง (NTCH) ทำหน้าที่ประมวลผลรายได้ เพื่อหลีกเลี่ยงผลประโยชน์ทับซ้อนและไม่ซ้ำรอยความล้มเหลวของ Whim Helsinki</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ดำเนินการแบบเป็นระยะ (Phased) — เริ่มต้นที่จังหวัดสมุทรปราการก่อน และขยายผลเมื่อพิสูจน์ความสำเร็จได้แล้ว ไม่เปิดตัวพร้อมกันทั่วประเทศเพื่อจำกัดความเสี่ยง</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คงระบบเดิมคู่ขนาน (Coexist) — รักษาบัตรเดิม (Rabbit, MRT Plus) ใช้งานควบคู่กับระบบ EMV ใหม่อย่างน้อย 5 ปี เพื่อลดแรงต้านและหลีกเลี่ยงปฏิกิริยาเชิงลบจากผู้ใช้เดิม</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สร้างผลสำเร็จระยะสั้น (Quick Win) — เร่งออกกฎหมายลำดับรองภายใน 1 ปี และเริ่มมาตรการลดหย่อนภาษีผู้โดยสารตั้งแต่ระยะแรก เพื่อสร้างแรงสนับสนุนทางการเมืองและสังคม</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พิสูจน์ผลตอบแทนด้วยข้อมูล (Show ROI) — ใช้การศึกษาเปรียบเทียบก่อน-หลังที่จังหวัดสมุทรปราการ วัดผลทุก 6 เดือน เพื่อพิสูจน์ผลลัพธ์เชิงประจักษ์ก่อนตัดสินใจขยายผล</w:t>
      </w:r>
    </w:p>
    <w:p>
      <w:pPr>
        <w:keepNext/>
        <w:spacing w:before="200" w:after="80" w:line="240" w:lineRule="auto"/>
      </w:pPr>
      <w:r>
        <w:rPr>
          <w:rFonts w:ascii="TH Sarabun New" w:hAnsi="TH Sarabun New" w:cs="TH Sarabun New" w:eastAsia="TH Sarabun New"/>
          <w:b/>
          <w:i w:val="0"/>
          <w:color w:val="1F3D6E"/>
          <w:sz w:val="32"/>
          <w:szCs w:val="32"/>
        </w:rPr>
        <w:t>4.6 ตัวชี้วัดความสำเร็จ (KPI) · เป้าหมายปี พ.ศ. 2576</w:t>
      </w:r>
    </w:p>
    <w:p>
      <w:pPr>
        <w:keepNext/>
        <w:spacing w:before="200" w:after="40" w:line="240" w:lineRule="auto"/>
        <w:jc w:val="center"/>
      </w:pPr>
      <w:r>
        <w:rPr>
          <w:rFonts w:ascii="TH Sarabun New" w:hAnsi="TH Sarabun New" w:cs="TH Sarabun New" w:eastAsia="TH Sarabun New"/>
          <w:b/>
          <w:i w:val="0"/>
          <w:sz w:val="30"/>
          <w:szCs w:val="30"/>
        </w:rPr>
        <w:t>ตารางที่ 13  ตัวชี้วัดความสำเร็จ (KPI) เป้าหมายปี พ.ศ. 2576</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1587"/>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มิติ</w:t>
            </w:r>
          </w:p>
        </w:tc>
        <w:tc>
          <w:tcPr>
            <w:tcW w:type="dxa" w:w="4365"/>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ตัวชี้วัด</w:t>
            </w:r>
          </w:p>
        </w:tc>
        <w:tc>
          <w:tcPr>
            <w:tcW w:type="dxa" w:w="170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เป้าหมาย</w:t>
            </w:r>
          </w:p>
        </w:tc>
      </w:tr>
      <w:tr>
        <w:trPr>
          <w:cantSplit/>
        </w:trPr>
        <w:tc>
          <w:tcPr>
            <w:tcW w:type="dxa" w:w="1587"/>
            <w:vAlign w:val="top"/>
          </w:tcPr>
          <w:p>
            <w:pPr>
              <w:spacing w:after="0" w:line="240" w:lineRule="auto"/>
              <w:jc w:val="left"/>
            </w:pPr>
            <w:r/>
            <w:r>
              <w:rPr>
                <w:rFonts w:ascii="TH Sarabun New" w:hAnsi="TH Sarabun New" w:cs="TH Sarabun New" w:eastAsia="TH Sarabun New"/>
                <w:b w:val="0"/>
                <w:i w:val="0"/>
                <w:sz w:val="26"/>
                <w:szCs w:val="26"/>
              </w:rPr>
              <w:t>Modal Shift</w:t>
            </w:r>
          </w:p>
        </w:tc>
        <w:tc>
          <w:tcPr>
            <w:tcW w:type="dxa" w:w="4365"/>
            <w:vAlign w:val="top"/>
          </w:tcPr>
          <w:p>
            <w:pPr>
              <w:spacing w:after="0" w:line="240" w:lineRule="auto"/>
              <w:jc w:val="left"/>
            </w:pPr>
            <w:r/>
            <w:r>
              <w:rPr>
                <w:rFonts w:ascii="TH Sarabun New" w:hAnsi="TH Sarabun New" w:cs="TH Sarabun New" w:eastAsia="TH Sarabun New"/>
                <w:b w:val="0"/>
                <w:i w:val="0"/>
                <w:sz w:val="26"/>
                <w:szCs w:val="26"/>
              </w:rPr>
              <w:t>สัดส่วนการเดินทางด้วยระบบขนส่งสาธารณะ (กทม.+ปริมณฑล)</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เพิ่มเป็น 20%</w:t>
            </w:r>
          </w:p>
        </w:tc>
      </w:tr>
      <w:tr>
        <w:trPr>
          <w:cantSplit/>
        </w:trPr>
        <w:tc>
          <w:tcPr>
            <w:tcW w:type="dxa" w:w="1587"/>
            <w:vAlign w:val="top"/>
          </w:tcPr>
          <w:p>
            <w:pPr>
              <w:spacing w:after="0" w:line="240" w:lineRule="auto"/>
              <w:jc w:val="left"/>
            </w:pPr>
            <w:r/>
            <w:r>
              <w:rPr>
                <w:rFonts w:ascii="TH Sarabun New" w:hAnsi="TH Sarabun New" w:cs="TH Sarabun New" w:eastAsia="TH Sarabun New"/>
                <w:b w:val="0"/>
                <w:i w:val="0"/>
                <w:sz w:val="26"/>
                <w:szCs w:val="26"/>
              </w:rPr>
              <w:t>สิ่งแวดล้อม</w:t>
            </w:r>
          </w:p>
        </w:tc>
        <w:tc>
          <w:tcPr>
            <w:tcW w:type="dxa" w:w="4365"/>
            <w:vAlign w:val="top"/>
          </w:tcPr>
          <w:p>
            <w:pPr>
              <w:spacing w:after="0" w:line="240" w:lineRule="auto"/>
              <w:jc w:val="left"/>
            </w:pPr>
            <w:r/>
            <w:r>
              <w:rPr>
                <w:rFonts w:ascii="TH Sarabun New" w:hAnsi="TH Sarabun New" w:cs="TH Sarabun New" w:eastAsia="TH Sarabun New"/>
                <w:b w:val="0"/>
                <w:i w:val="0"/>
                <w:sz w:val="26"/>
                <w:szCs w:val="26"/>
              </w:rPr>
              <w:t>การปล่อย CO2 ภาคขนส่งเมือง</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ลดลง 30%</w:t>
            </w:r>
          </w:p>
        </w:tc>
      </w:tr>
      <w:tr>
        <w:trPr>
          <w:cantSplit/>
        </w:trPr>
        <w:tc>
          <w:tcPr>
            <w:tcW w:type="dxa" w:w="1587"/>
            <w:vAlign w:val="top"/>
          </w:tcPr>
          <w:p>
            <w:pPr>
              <w:spacing w:after="0" w:line="240" w:lineRule="auto"/>
              <w:jc w:val="left"/>
            </w:pPr>
            <w:r/>
            <w:r>
              <w:rPr>
                <w:rFonts w:ascii="TH Sarabun New" w:hAnsi="TH Sarabun New" w:cs="TH Sarabun New" w:eastAsia="TH Sarabun New"/>
                <w:b w:val="0"/>
                <w:i w:val="0"/>
                <w:sz w:val="26"/>
                <w:szCs w:val="26"/>
              </w:rPr>
              <w:t>เวลาเดินทาง</w:t>
            </w:r>
          </w:p>
        </w:tc>
        <w:tc>
          <w:tcPr>
            <w:tcW w:type="dxa" w:w="4365"/>
            <w:vAlign w:val="top"/>
          </w:tcPr>
          <w:p>
            <w:pPr>
              <w:spacing w:after="0" w:line="240" w:lineRule="auto"/>
              <w:jc w:val="left"/>
            </w:pPr>
            <w:r/>
            <w:r>
              <w:rPr>
                <w:rFonts w:ascii="TH Sarabun New" w:hAnsi="TH Sarabun New" w:cs="TH Sarabun New" w:eastAsia="TH Sarabun New"/>
                <w:b w:val="0"/>
                <w:i w:val="0"/>
                <w:sz w:val="26"/>
                <w:szCs w:val="26"/>
              </w:rPr>
              <w:t>เวลาเฉลี่ยในเขตเมืองชั้นใน</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ลดลง 25%</w:t>
            </w:r>
          </w:p>
        </w:tc>
      </w:tr>
      <w:tr>
        <w:trPr>
          <w:cantSplit/>
        </w:trPr>
        <w:tc>
          <w:tcPr>
            <w:tcW w:type="dxa" w:w="1587"/>
            <w:vAlign w:val="top"/>
          </w:tcPr>
          <w:p>
            <w:pPr>
              <w:spacing w:after="0" w:line="240" w:lineRule="auto"/>
              <w:jc w:val="left"/>
            </w:pPr>
            <w:r/>
            <w:r>
              <w:rPr>
                <w:rFonts w:ascii="TH Sarabun New" w:hAnsi="TH Sarabun New" w:cs="TH Sarabun New" w:eastAsia="TH Sarabun New"/>
                <w:b w:val="0"/>
                <w:i w:val="0"/>
                <w:sz w:val="26"/>
                <w:szCs w:val="26"/>
              </w:rPr>
              <w:t>ตั๋วร่วม</w:t>
            </w:r>
          </w:p>
        </w:tc>
        <w:tc>
          <w:tcPr>
            <w:tcW w:type="dxa" w:w="4365"/>
            <w:vAlign w:val="top"/>
          </w:tcPr>
          <w:p>
            <w:pPr>
              <w:spacing w:after="0" w:line="240" w:lineRule="auto"/>
              <w:jc w:val="left"/>
            </w:pPr>
            <w:r/>
            <w:r>
              <w:rPr>
                <w:rFonts w:ascii="TH Sarabun New" w:hAnsi="TH Sarabun New" w:cs="TH Sarabun New" w:eastAsia="TH Sarabun New"/>
                <w:b w:val="0"/>
                <w:i w:val="0"/>
                <w:sz w:val="26"/>
                <w:szCs w:val="26"/>
              </w:rPr>
              <w:t>สัดส่วนการเดินทางที่ชำระผ่าน EMV/ABT</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 80%</w:t>
            </w:r>
          </w:p>
        </w:tc>
      </w:tr>
      <w:tr>
        <w:trPr>
          <w:cantSplit/>
        </w:trPr>
        <w:tc>
          <w:tcPr>
            <w:tcW w:type="dxa" w:w="1587"/>
            <w:vAlign w:val="top"/>
          </w:tcPr>
          <w:p>
            <w:pPr>
              <w:spacing w:after="0" w:line="240" w:lineRule="auto"/>
              <w:jc w:val="left"/>
            </w:pPr>
            <w:r/>
            <w:r>
              <w:rPr>
                <w:rFonts w:ascii="TH Sarabun New" w:hAnsi="TH Sarabun New" w:cs="TH Sarabun New" w:eastAsia="TH Sarabun New"/>
                <w:b w:val="0"/>
                <w:i w:val="0"/>
                <w:sz w:val="26"/>
                <w:szCs w:val="26"/>
              </w:rPr>
              <w:t>First/Last Mile</w:t>
            </w:r>
          </w:p>
        </w:tc>
        <w:tc>
          <w:tcPr>
            <w:tcW w:type="dxa" w:w="4365"/>
            <w:vAlign w:val="top"/>
          </w:tcPr>
          <w:p>
            <w:pPr>
              <w:spacing w:after="0" w:line="240" w:lineRule="auto"/>
              <w:jc w:val="left"/>
            </w:pPr>
            <w:r/>
            <w:r>
              <w:rPr>
                <w:rFonts w:ascii="TH Sarabun New" w:hAnsi="TH Sarabun New" w:cs="TH Sarabun New" w:eastAsia="TH Sarabun New"/>
                <w:b w:val="0"/>
                <w:i w:val="0"/>
                <w:sz w:val="26"/>
                <w:szCs w:val="26"/>
              </w:rPr>
              <w:t>เวลาเดินทางจากบ้านถึงสถานี (สมุทรปราการ)</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 10 นาที</w:t>
            </w:r>
          </w:p>
        </w:tc>
      </w:tr>
      <w:tr>
        <w:trPr>
          <w:cantSplit/>
        </w:trPr>
        <w:tc>
          <w:tcPr>
            <w:tcW w:type="dxa" w:w="1587"/>
            <w:vAlign w:val="top"/>
          </w:tcPr>
          <w:p>
            <w:pPr>
              <w:spacing w:after="0" w:line="240" w:lineRule="auto"/>
              <w:jc w:val="left"/>
            </w:pPr>
            <w:r/>
            <w:r>
              <w:rPr>
                <w:rFonts w:ascii="TH Sarabun New" w:hAnsi="TH Sarabun New" w:cs="TH Sarabun New" w:eastAsia="TH Sarabun New"/>
                <w:b w:val="0"/>
                <w:i w:val="0"/>
                <w:sz w:val="26"/>
                <w:szCs w:val="26"/>
              </w:rPr>
              <w:t>ความปลอดภัย</w:t>
            </w:r>
          </w:p>
        </w:tc>
        <w:tc>
          <w:tcPr>
            <w:tcW w:type="dxa" w:w="4365"/>
            <w:vAlign w:val="top"/>
          </w:tcPr>
          <w:p>
            <w:pPr>
              <w:spacing w:after="0" w:line="240" w:lineRule="auto"/>
              <w:jc w:val="left"/>
            </w:pPr>
            <w:r/>
            <w:r>
              <w:rPr>
                <w:rFonts w:ascii="TH Sarabun New" w:hAnsi="TH Sarabun New" w:cs="TH Sarabun New" w:eastAsia="TH Sarabun New"/>
                <w:b w:val="0"/>
                <w:i w:val="0"/>
                <w:sz w:val="26"/>
                <w:szCs w:val="26"/>
              </w:rPr>
              <w:t>อุบัติเหตุในพื้นที่ Complete Streets</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ลดลง 40%</w:t>
            </w:r>
          </w:p>
        </w:tc>
      </w:tr>
      <w:tr>
        <w:trPr>
          <w:cantSplit/>
        </w:trPr>
        <w:tc>
          <w:tcPr>
            <w:tcW w:type="dxa" w:w="1587"/>
            <w:vAlign w:val="top"/>
          </w:tcPr>
          <w:p>
            <w:pPr>
              <w:spacing w:after="0" w:line="240" w:lineRule="auto"/>
              <w:jc w:val="left"/>
            </w:pPr>
            <w:r/>
            <w:r>
              <w:rPr>
                <w:rFonts w:ascii="TH Sarabun New" w:hAnsi="TH Sarabun New" w:cs="TH Sarabun New" w:eastAsia="TH Sarabun New"/>
                <w:b w:val="0"/>
                <w:i w:val="0"/>
                <w:sz w:val="26"/>
                <w:szCs w:val="26"/>
              </w:rPr>
              <w:t>ประสบการณ์ผู้ใช้</w:t>
            </w:r>
          </w:p>
        </w:tc>
        <w:tc>
          <w:tcPr>
            <w:tcW w:type="dxa" w:w="4365"/>
            <w:vAlign w:val="top"/>
          </w:tcPr>
          <w:p>
            <w:pPr>
              <w:spacing w:after="0" w:line="240" w:lineRule="auto"/>
              <w:jc w:val="left"/>
            </w:pPr>
            <w:r/>
            <w:r>
              <w:rPr>
                <w:rFonts w:ascii="TH Sarabun New" w:hAnsi="TH Sarabun New" w:cs="TH Sarabun New" w:eastAsia="TH Sarabun New"/>
                <w:b w:val="0"/>
                <w:i w:val="0"/>
                <w:sz w:val="26"/>
                <w:szCs w:val="26"/>
              </w:rPr>
              <w:t>คะแนนความพึงพอใจ (NPS) ผู้ใช้ระบบขนส่งสาธารณะ</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เพิ่มขึ้น 40%</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คณะผู้จัดทำเสนอให้ใช้การศึกษาเปรียบเทียบก่อน-หลัง (Before-After Study) ที่จังหวัดสมุทรปราการ วัดผลทุก 6 เดือน เพื่อพิสูจน์ผลลัพธ์เชิงประจักษ์ก่อนตัดสินใจขยายผลทั่วประเทศ</w:t>
      </w:r>
    </w:p>
    <w:p>
      <w:pPr>
        <w:spacing w:line="240" w:lineRule="auto" w:after="0"/>
        <w:ind w:firstLine="720"/>
        <w:jc w:val="left"/>
      </w:pPr>
      <w:r>
        <w:rPr>
          <w:rFonts w:ascii="TH Sarabun New" w:hAnsi="TH Sarabun New" w:cs="TH Sarabun New" w:eastAsia="TH Sarabun New"/>
          <w:b w:val="0"/>
          <w:i w:val="0"/>
          <w:sz w:val="32"/>
          <w:szCs w:val="32"/>
        </w:rPr>
        <w:t>ตัวชี้วัดทั้งหมดถูกออกแบบให้สอดคล้องกับเป้าหมายระดับชาติและสามารถวัดได้จริง โดยกำหนดค่าฐาน (Baseline) ในปีเริ่มต้นและตั้งเป้าหมายรายปีเพื่อติดตามความก้าวหน้า การวัดผลใช้ข้อมูลจากหลายแหล่งประกอบกัน ทั้งระบบเก็บค่าโดยสารอัตโนมัติ การสำรวจการเดินทาง แบบจำลองการปล่อยมลพิษ และแบบสำรวจความพึงพอใจในแอปพลิเคชัน ทั้งนี้ ตัวชี้วัดเหล่านี้ไม่เพียงใช้ติดตามผล แต่ยังเป็นเครื่องมือสื่อสารความสำเร็จต่อสาธารณะและผู้กำหนดนโยบาย เพื่อสร้างแรงสนับสนุนในการขยายผลต่อไป (รายละเอียดกรอบการวัดผลแสดงในภาคผนวก ช)</w:t>
      </w:r>
    </w:p>
    <w:p>
      <w:pPr>
        <w:keepNext/>
        <w:spacing w:before="200" w:after="80" w:line="240" w:lineRule="auto"/>
      </w:pPr>
      <w:r>
        <w:rPr>
          <w:rFonts w:ascii="TH Sarabun New" w:hAnsi="TH Sarabun New" w:cs="TH Sarabun New" w:eastAsia="TH Sarabun New"/>
          <w:b/>
          <w:i w:val="0"/>
          <w:color w:val="1F3D6E"/>
          <w:sz w:val="32"/>
          <w:szCs w:val="32"/>
        </w:rPr>
        <w:t>4.7 แผนการบริหารการเปลี่ยนแปลงและการสื่อสาร</w:t>
      </w:r>
    </w:p>
    <w:p>
      <w:pPr>
        <w:spacing w:line="240" w:lineRule="auto" w:after="0"/>
        <w:ind w:firstLine="720"/>
        <w:jc w:val="left"/>
      </w:pPr>
      <w:r>
        <w:rPr>
          <w:rFonts w:ascii="TH Sarabun New" w:hAnsi="TH Sarabun New" w:cs="TH Sarabun New" w:eastAsia="TH Sarabun New"/>
          <w:b w:val="0"/>
          <w:i w:val="0"/>
          <w:sz w:val="32"/>
          <w:szCs w:val="32"/>
        </w:rPr>
        <w:t>การเปลี่ยนพฤติกรรมการเดินทางของประชาชนเป็นความท้าทายที่ต้องอาศัยการบริหารการเปลี่ยนแปลง (Change Management) อย่างเป็นระบบ คณะผู้จัดทำเสนอแนวทางการสื่อสารและการมีส่วนร่วม 4 ระดับ ได้แก่ (1) การสร้างการรับรู้ผ่านสื่อสาธารณะและแคมเปญรณรงค์ถึงประโยชน์ของระบบใหม่ (2) การมีส่วนร่วมของผู้มีส่วนได้ส่วนเสีย ทั้งผู้ให้บริการ ผู้ประกอบการในนิคมอุตสาหกรรม และประชาชน ผ่านการรับฟังความคิดเห็นและการทดลองใช้ (3) การสร้างแรงจูงใจระยะแรกผ่านมาตรการลดหย่อนภาษีและสิทธิประโยชน์ และ (4) การคงระบบเดิมคู่ขนาน (Coexist) เพื่อลดความกังวลของผู้ใช้ การสื่อสารต้องเน้นหลัก "พิสูจน์ให้เห็น" (Show, don't tell) โดยใช้ผลสำเร็จจากพื้นที่นำร่องเป็นเครื่องมือสร้างการยอมรับก่อนขยายผล</w:t>
      </w:r>
    </w:p>
    <w:p>
      <w:pPr>
        <w:keepNext/>
        <w:spacing w:before="200" w:after="80" w:line="240" w:lineRule="auto"/>
      </w:pPr>
      <w:r>
        <w:rPr>
          <w:rFonts w:ascii="TH Sarabun New" w:hAnsi="TH Sarabun New" w:cs="TH Sarabun New" w:eastAsia="TH Sarabun New"/>
          <w:b/>
          <w:i w:val="0"/>
          <w:color w:val="1F3D6E"/>
          <w:sz w:val="32"/>
          <w:szCs w:val="32"/>
        </w:rPr>
        <w:t>4.8 กรอบการติดตามและประเมินผล (Monitoring &amp; Evaluation)</w:t>
      </w:r>
    </w:p>
    <w:p>
      <w:pPr>
        <w:spacing w:line="240" w:lineRule="auto" w:after="0"/>
        <w:ind w:firstLine="720"/>
        <w:jc w:val="left"/>
      </w:pPr>
      <w:r>
        <w:rPr>
          <w:rFonts w:ascii="TH Sarabun New" w:hAnsi="TH Sarabun New" w:cs="TH Sarabun New" w:eastAsia="TH Sarabun New"/>
          <w:b w:val="0"/>
          <w:i w:val="0"/>
          <w:sz w:val="32"/>
          <w:szCs w:val="32"/>
        </w:rPr>
        <w:t>เพื่อให้การดำเนินงานบรรลุเป้าหมายและสามารถปรับปรุงได้อย่างต่อเนื่อง คณะผู้จัดทำเสนอกรอบการติดตามและประเมินผลที่ชัดเจน ประกอบด้วยการกำหนดค่าฐาน (Baseline) ก่อนเริ่มโครงการ การตั้งค่าเป้าหมายรายปี การเก็บข้อมูลจากแหล่งที่เชื่อถือได้ (ระบบเก็บค่าโดยสารอัตโนมัติ แบบสำรวจการเดินทาง และข้อมูลในแอป MaaS) และการรายงานผลต่อคณะกรรมการนโยบายเป็นรายไตรมาส หัวใจสำคัญคือการศึกษาเปรียบเทียบก่อน-หลัง (Before-After Study) ที่พื้นที่นำร่อง เพื่อวัดผลการเปลี่ยนแปลงเชิงประจักษ์ทั้งด้านสัดส่วนการเดินทาง การลดมลพิษ เวลาเดินทาง และความพึงพอใจ ก่อนตัดสินใจขยายผล (รายละเอียดตัวชี้วัดและแหล่งข้อมูลแสดงในภาคผนวก ช)</w:t>
      </w:r>
    </w:p>
    <w:p>
      <w:pPr>
        <w:keepNext/>
        <w:spacing w:before="360" w:after="200" w:line="240" w:lineRule="auto"/>
        <w:jc w:val="left"/>
      </w:pPr>
      <w:r>
        <w:rPr>
          <w:rFonts w:ascii="TH Sarabun New" w:hAnsi="TH Sarabun New" w:cs="TH Sarabun New" w:eastAsia="TH Sarabun New"/>
          <w:b/>
          <w:i w:val="0"/>
          <w:color w:val="1F3D6E"/>
          <w:sz w:val="36"/>
          <w:szCs w:val="36"/>
        </w:rPr>
        <w:t>5.  สรุปในภาพรวม</w:t>
      </w:r>
    </w:p>
    <w:p>
      <w:pPr>
        <w:spacing w:line="240" w:lineRule="auto" w:after="0"/>
        <w:ind w:firstLine="720"/>
        <w:jc w:val="left"/>
      </w:pPr>
      <w:r>
        <w:rPr>
          <w:rFonts w:ascii="TH Sarabun New" w:hAnsi="TH Sarabun New" w:cs="TH Sarabun New" w:eastAsia="TH Sarabun New"/>
          <w:b w:val="0"/>
          <w:i w:val="0"/>
          <w:sz w:val="32"/>
          <w:szCs w:val="32"/>
        </w:rPr>
        <w:t>รายงานการศึกษากลุ่มฉบับนี้ได้วิเคราะห์สภาพปัญหาการคมนาคมขนส่งในเขตเมืองที่สะสมมานานกว่า 10 ปี (หัวข้อ 1) คาดการณ์แนวโน้มและความต้องการในอนาคต (หัวข้อ 2) เสนอแนวทางแก้ปัญหาผ่านกรอบ 4 เสาหลักและ 5 กลไกสนับสนุน (หัวข้อ 3) และวางแนวทางการนำสู่การปฏิบัติ พร้อมเจ้าภาพ งบประมาณ และการบริหารความเสี่ยง โดยใช้จังหวัดสมุทรปราการเป็นพื้นที่นำร่อง (หัวข้อ 4) ภายใต้กรอบของพระราชบัญญัติระบบตั๋วร่วม พ.ศ. 2568</w:t>
      </w:r>
    </w:p>
    <w:p>
      <w:pPr>
        <w:spacing w:line="240" w:lineRule="auto" w:after="0"/>
        <w:ind w:firstLine="720"/>
        <w:jc w:val="left"/>
      </w:pPr>
      <w:r>
        <w:rPr>
          <w:rFonts w:ascii="TH Sarabun New" w:hAnsi="TH Sarabun New" w:cs="TH Sarabun New" w:eastAsia="TH Sarabun New"/>
          <w:b w:val="0"/>
          <w:i w:val="0"/>
          <w:sz w:val="32"/>
          <w:szCs w:val="32"/>
        </w:rPr>
        <w:t>ผลการศึกษายืนยันว่าการบูรณาการระบบคมนาคมขนส่งของประเทศไทยมีความเป็นไปได้สูงในเชิงเทคนิค การเงิน และกฎหมาย โดยมีพระราชบัญญัติการบริหารจัดการระบบตั๋วร่วม พ.ศ. 2568 เป็นกรอบรองรับ และมีบทเรียนจากต่างประเทศเป็นแนวทาง ความท้าทายที่แท้จริงจึงอยู่ที่การบริหารจัดการเชิงสถาบัน การประสานความร่วมมือข้ามหน่วยงาน และเจตจำนงทางการเมืองในการขับเคลื่อนอย่างต่อเนื่อง</w:t>
      </w:r>
    </w:p>
    <w:p>
      <w:pPr>
        <w:keepNext/>
        <w:spacing w:before="200" w:after="80" w:line="240" w:lineRule="auto"/>
      </w:pPr>
      <w:r>
        <w:rPr>
          <w:rFonts w:ascii="TH Sarabun New" w:hAnsi="TH Sarabun New" w:cs="TH Sarabun New" w:eastAsia="TH Sarabun New"/>
          <w:b/>
          <w:i w:val="0"/>
          <w:color w:val="1F3D6E"/>
          <w:sz w:val="32"/>
          <w:szCs w:val="32"/>
        </w:rPr>
        <w:t>5.1 ข้อเสนอเชิงนโยบายโดยสรุป</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เริ่มพื้นที่นำร่องที่จังหวัดสมุทรปราการ ระยะ 3 ปี (พ.ศ. 2570-2572) ดำเนินการ 4 เสาหลักพร้อมกัน</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จัดตั้งคณะทำงานร่วม (Joint Task Force) กระทรวงคมนาคม-คลัง-อบจ.สมุทรปราการ-กทม. ภายใน 6 เดือน</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ออกกฎหมายลำดับรองของพระราชบัญญัติระบบตั๋วร่วม พ.ศ. 2568 ภายใน 1 ปี และทดสอบที่สมุทรปราการก่อน</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เริ่มมาตรการลดหย่อนภาษีผู้โดยสาร (Commuter Tax Deduction) เพื่อสร้างผลเชิงประจักษ์อย่างรวดเร็ว</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จัดตั้งหน่วยงานกลางประมวลผลรายได้ (NTCH) ที่เป็นกลาง และบังคับใช้มาตรฐานข้อมูลเปิด (GTFS/GBFS)</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ใช้หลัก Open Data First และคงระบบบัตรเดิมคู่ขนานกับระบบใหม่อย่างน้อย 5 ปี (Coexist)</w:t>
      </w:r>
    </w:p>
    <w:p>
      <w:pPr>
        <w:spacing w:line="240" w:lineRule="auto" w:after="40"/>
        <w:ind w:left="1077" w:hanging="312"/>
        <w:jc w:val="left"/>
      </w:pPr>
      <w:r>
        <w:rPr>
          <w:rFonts w:ascii="TH Sarabun New" w:hAnsi="TH Sarabun New" w:cs="TH Sarabun New" w:eastAsia="TH Sarabun New"/>
          <w:b w:val="0"/>
          <w:i w:val="0"/>
          <w:sz w:val="32"/>
          <w:szCs w:val="32"/>
        </w:rPr>
        <w:t xml:space="preserve">•  </w:t>
      </w:r>
      <w:r>
        <w:rPr>
          <w:rFonts w:ascii="TH Sarabun New" w:hAnsi="TH Sarabun New" w:cs="TH Sarabun New" w:eastAsia="TH Sarabun New"/>
          <w:b w:val="0"/>
          <w:i w:val="0"/>
          <w:sz w:val="32"/>
          <w:szCs w:val="32"/>
        </w:rPr>
        <w:t>ขยายผลทั่วประเทศภายในปี พ.ศ. 2576 เมื่อพิสูจน์ผลสำเร็จได้แล้ว</w:t>
      </w:r>
    </w:p>
    <w:p>
      <w:pPr>
        <w:keepNext/>
        <w:spacing w:before="200" w:after="80" w:line="240" w:lineRule="auto"/>
      </w:pPr>
      <w:r>
        <w:rPr>
          <w:rFonts w:ascii="TH Sarabun New" w:hAnsi="TH Sarabun New" w:cs="TH Sarabun New" w:eastAsia="TH Sarabun New"/>
          <w:b/>
          <w:i w:val="0"/>
          <w:color w:val="1F3D6E"/>
          <w:sz w:val="32"/>
          <w:szCs w:val="32"/>
        </w:rPr>
        <w:t>5.2 บทเรียนที่ได้เรียนรู้จากการจัดทำรายงาน</w:t>
      </w:r>
    </w:p>
    <w:p>
      <w:pPr>
        <w:spacing w:line="240" w:lineRule="auto" w:after="0"/>
        <w:ind w:firstLine="720"/>
        <w:jc w:val="left"/>
      </w:pPr>
      <w:r>
        <w:rPr>
          <w:rFonts w:ascii="TH Sarabun New" w:hAnsi="TH Sarabun New" w:cs="TH Sarabun New" w:eastAsia="TH Sarabun New"/>
          <w:b w:val="0"/>
          <w:i w:val="0"/>
          <w:sz w:val="32"/>
          <w:szCs w:val="32"/>
        </w:rPr>
        <w:t>การจัดทำรายงานกลุ่มครั้งนี้สะท้อนบทเรียนสำคัญว่า การแก้ปัญหาเชิงระบบของประเทศไม่อาจสำเร็จได้ด้วยหน่วยงานเดียวหรือเครื่องมือเดียว แต่ต้องอาศัยการบูรณาการทั้งด้านกฎหมาย เศรษฐศาสตร์ เทคโนโลยี และพฤติกรรมไปพร้อมกัน ภายใต้ภาวะผู้นำที่กล้าตัดสินใจและการประสานความร่วมมือข้ามหน่วยงาน นอกจากนี้ การทำงานเป็นกลุ่มของผู้บริหารจากต่างหน่วยงานยังช่วยเปิดมุมมองและสร้างเครือข่ายความร่วมมือที่เป็นประโยชน์ต่อการขับเคลื่อนนโยบายในอนาคต</w:t>
      </w:r>
    </w:p>
    <w:p>
      <w:pPr>
        <w:spacing w:line="240" w:lineRule="auto" w:after="0"/>
        <w:ind w:firstLine="720"/>
        <w:jc w:val="left"/>
      </w:pPr>
      <w:r>
        <w:rPr>
          <w:rFonts w:ascii="TH Sarabun New" w:hAnsi="TH Sarabun New" w:cs="TH Sarabun New" w:eastAsia="TH Sarabun New"/>
          <w:b w:val="0"/>
          <w:i w:val="0"/>
          <w:sz w:val="32"/>
          <w:szCs w:val="32"/>
        </w:rPr>
        <w:t>บทเรียนสำคัญอีกประการคือคุณค่าของการศึกษาเชิงเปรียบเทียบ (Comparative Study) การทบทวนกรณีศึกษาทั้งที่ประสบความสำเร็จและล้มเหลวในต่างประเทศช่วยให้คณะผู้จัดทำหลีกเลี่ยงการ"คิดค้นสิ่งที่มีอยู่แล้วใหม่" (Reinventing the Wheel) และสามารถออกแบบแนวทางบนฐานของหลักฐาน (Evidence-based) ได้อย่างมั่นใจ ขณะเดียวกันก็ตระหนักว่าการลอกเลียนแบบโดยไม่ปรับให้เข้ากับบริบทเฉพาะของไทยอาจนำไปสู่ความล้มเหลว การวิเคราะห์ความเหมาะสมกับบริบท (Contextualization) จึงเป็นทักษะสำคัญของผู้บริหารระดับสูง</w:t>
      </w:r>
    </w:p>
    <w:p>
      <w:pPr>
        <w:spacing w:line="240" w:lineRule="auto" w:after="0"/>
        <w:ind w:firstLine="720"/>
        <w:jc w:val="left"/>
      </w:pPr>
      <w:r>
        <w:rPr>
          <w:rFonts w:ascii="TH Sarabun New" w:hAnsi="TH Sarabun New" w:cs="TH Sarabun New" w:eastAsia="TH Sarabun New"/>
          <w:b w:val="0"/>
          <w:i w:val="0"/>
          <w:sz w:val="32"/>
          <w:szCs w:val="32"/>
        </w:rPr>
        <w:t>นอกจากนี้ กระบวนการจัดทำรายงานยังสะท้อนความสำคัญของการคิดเชิงระบบและการมองภาพระยะยาว ผู้บริหารระดับสูงจำเป็นต้องสามารถเชื่อมโยงนโยบายระดับชาติ ยุทธศาสตร์ระดับกระทรวง และการปฏิบัติในระดับพื้นที่เข้าด้วยกัน ตลอดจนสร้างสมดุลระหว่างผลประโยชน์ของผู้มีส่วนได้ส่วนเสียที่หลากหลาย ทักษะเหล่านี้คือหัวใจของภาวะผู้นำเชิงยุทธศาสตร์ที่หลักสูตรนักบริหารระดับสูงมุ่งพัฒนา และเป็นสิ่งที่คณะผู้จัดทำได้ฝึกฝนผ่านการจัดทำรายงานฉบับนี้</w:t>
      </w:r>
    </w:p>
    <w:p>
      <w:pPr>
        <w:spacing w:line="240" w:lineRule="auto" w:after="0"/>
        <w:ind w:firstLine="720"/>
        <w:jc w:val="left"/>
      </w:pPr>
      <w:r>
        <w:rPr>
          <w:rFonts w:ascii="TH Sarabun New" w:hAnsi="TH Sarabun New" w:cs="TH Sarabun New" w:eastAsia="TH Sarabun New"/>
          <w:b w:val="0"/>
          <w:i w:val="0"/>
          <w:sz w:val="32"/>
          <w:szCs w:val="32"/>
        </w:rPr>
        <w:t>โดยสรุป ในยุคหลังพระราชบัญญัติระบบตั๋วร่วม พ.ศ. 2568 ประเทศไทยมีเครื่องมือทางกฎหมายพร้อมแล้ว สิ่งที่เหลืออยู่คือ "เจตจำนงทางการเมือง" และการลงมือปฏิบัติอย่างบูรณาการ หากเริ่มต้นที่จังหวัดสมุทรปราการในปี พ.ศ. 2570 และขยายผลทั่วประเทศภายในปี พ.ศ. 2576 ประเทศไทยจะมีระบบขนส่งสาธารณะที่บูรณาการเทียบเคียงระดับสากล ในงบประมาณเพียงร้อยละ 0.5 ของงบประมาณกระทรวงคมนาคม 10 ปี</w:t>
      </w:r>
    </w:p>
    <w:p>
      <w:pPr>
        <w:keepNext/>
        <w:spacing w:before="200" w:after="80" w:line="240" w:lineRule="auto"/>
      </w:pPr>
      <w:r>
        <w:rPr>
          <w:rFonts w:ascii="TH Sarabun New" w:hAnsi="TH Sarabun New" w:cs="TH Sarabun New" w:eastAsia="TH Sarabun New"/>
          <w:b/>
          <w:i w:val="0"/>
          <w:color w:val="1F3D6E"/>
          <w:sz w:val="32"/>
          <w:szCs w:val="32"/>
        </w:rPr>
        <w:t>5.3 ข้อจำกัดของการศึกษาและข้อเสนอแนะสำหรับการศึกษาต่อยอด</w:t>
      </w:r>
    </w:p>
    <w:p>
      <w:pPr>
        <w:spacing w:line="240" w:lineRule="auto" w:after="0"/>
        <w:ind w:firstLine="720"/>
        <w:jc w:val="left"/>
      </w:pPr>
      <w:r>
        <w:rPr>
          <w:rFonts w:ascii="TH Sarabun New" w:hAnsi="TH Sarabun New" w:cs="TH Sarabun New" w:eastAsia="TH Sarabun New"/>
          <w:b w:val="0"/>
          <w:i w:val="0"/>
          <w:sz w:val="32"/>
          <w:szCs w:val="32"/>
        </w:rPr>
        <w:t>การศึกษาครั้งนี้มีข้อจำกัดที่ควรพิจารณา ได้แก่ การใช้ข้อมูลทุติยภูมิเป็นหลักโดยยังไม่ได้เก็บข้อมูลปฐมภูมิเชิงลึกในพื้นที่ การประมาณการงบประมาณและรายได้เป็นค่าช่วงบนสมมุติฐาน ซึ่งต้องปรับให้แม่นยำขึ้นด้วยการศึกษาความเป็นไปได้โดยละเอียด (Feasibility Study) และบริบทเชิงสถาบันที่อาจเปลี่ยนแปลงตามนโยบายรัฐบาล</w:t>
      </w:r>
    </w:p>
    <w:p>
      <w:pPr>
        <w:spacing w:line="240" w:lineRule="auto" w:after="0"/>
        <w:ind w:firstLine="720"/>
        <w:jc w:val="left"/>
      </w:pPr>
      <w:r>
        <w:rPr>
          <w:rFonts w:ascii="TH Sarabun New" w:hAnsi="TH Sarabun New" w:cs="TH Sarabun New" w:eastAsia="TH Sarabun New"/>
          <w:b w:val="0"/>
          <w:i w:val="0"/>
          <w:sz w:val="32"/>
          <w:szCs w:val="32"/>
        </w:rPr>
        <w:t>คณะผู้จัดทำเสนอประเด็นสำหรับการศึกษาต่อยอด ดังนี้ (1) การศึกษาความเป็นไปได้และการออกแบบรายละเอียดของหน่วยงานกลางประมวลผลรายได้ (NTCH) ทั้งด้านกฎหมาย การเงิน และเทคนิค (2) การสำรวจความต้องการเดินทางและความเต็มใจจ่ายของประชาชนในพื้นที่นำร่อง (3) การประเมินผลกระทบเชิงเศรษฐกิจ สังคม และสิ่งแวดล้อมอย่างละเอียด และ (4) การออกแบบมาตรการทางเศรษฐศาสตร์ที่เหมาะสมกับบริบทไทยโดยคำนึงถึงความเป็นธรรมและการยอมรับของประชาชน</w:t>
      </w:r>
    </w:p>
    <w:p>
      <w:r>
        <w:br w:type="page"/>
      </w:r>
    </w:p>
    <w:p>
      <w:pPr>
        <w:keepNext/>
        <w:spacing w:before="0" w:after="200" w:line="240" w:lineRule="auto"/>
        <w:jc w:val="left"/>
      </w:pPr>
      <w:r>
        <w:rPr>
          <w:rFonts w:ascii="TH Sarabun New" w:hAnsi="TH Sarabun New" w:cs="TH Sarabun New" w:eastAsia="TH Sarabun New"/>
          <w:b/>
          <w:i w:val="0"/>
          <w:color w:val="1F3D6E"/>
          <w:sz w:val="36"/>
          <w:szCs w:val="36"/>
        </w:rPr>
        <w:t>บรรณานุกรม</w:t>
      </w:r>
    </w:p>
    <w:p>
      <w:pPr>
        <w:spacing w:line="240" w:lineRule="auto" w:after="120"/>
        <w:ind w:left="720" w:hanging="720"/>
      </w:pPr>
      <w:r>
        <w:rPr>
          <w:rFonts w:ascii="TH Sarabun New" w:hAnsi="TH Sarabun New" w:cs="TH Sarabun New" w:eastAsia="TH Sarabun New"/>
          <w:b w:val="0"/>
          <w:i w:val="0"/>
          <w:sz w:val="32"/>
          <w:szCs w:val="32"/>
        </w:rPr>
        <w:t>กรมการขนส่งทางราง. (2566). รายงานสถิติการเดินทางด้วยระบบขนส่งทางรางในเขตกรุงเทพมหานครและปริมณฑล. กรุงเทพฯ: กระทรวงคมนาคม.</w:t>
      </w:r>
      <w:r>
        <w:rPr>
          <w:rFonts w:ascii="TH Sarabun New" w:hAnsi="TH Sarabun New" w:cs="TH Sarabun New"/>
          <w:sz w:val="32"/>
          <w:szCs w:val="32"/>
        </w:rPr>
        <w:t xml:space="preserve">  สืบค้นจาก </w:t>
      </w:r>
      <w:hyperlink r:id="rId21">
        <w:r>
          <w:rPr>
            <w:rFonts w:ascii="TH Sarabun New" w:hAnsi="TH Sarabun New" w:cs="TH Sarabun New"/>
            <w:sz w:val="32"/>
            <w:szCs w:val="32"/>
            <w:color w:val="0563C1"/>
            <w:u w:val="single"/>
          </w:rPr>
          <w:t xml:space="preserve">https://www.drt.go.th/</w:t>
        </w:r>
      </w:hyperlink>
    </w:p>
    <w:p>
      <w:pPr>
        <w:spacing w:line="240" w:lineRule="auto" w:after="120"/>
        <w:ind w:left="720" w:hanging="720"/>
      </w:pPr>
      <w:r>
        <w:rPr>
          <w:rFonts w:ascii="TH Sarabun New" w:hAnsi="TH Sarabun New" w:cs="TH Sarabun New" w:eastAsia="TH Sarabun New"/>
          <w:b w:val="0"/>
          <w:i w:val="0"/>
          <w:sz w:val="32"/>
          <w:szCs w:val="32"/>
        </w:rPr>
        <w:t>กรมควบคุมมลพิษ. (2566). รายงานสถานการณ์มลพิษของประเทศไทย ปี 2566. กรุงเทพฯ: กระทรวงทรัพยากรธรรมชาติและสิ่งแวดล้อม.</w:t>
      </w:r>
      <w:r>
        <w:rPr>
          <w:rFonts w:ascii="TH Sarabun New" w:hAnsi="TH Sarabun New" w:cs="TH Sarabun New"/>
          <w:sz w:val="32"/>
          <w:szCs w:val="32"/>
        </w:rPr>
        <w:t xml:space="preserve">  สืบค้นจาก </w:t>
      </w:r>
      <w:hyperlink r:id="rId22">
        <w:r>
          <w:rPr>
            <w:rFonts w:ascii="TH Sarabun New" w:hAnsi="TH Sarabun New" w:cs="TH Sarabun New"/>
            <w:sz w:val="32"/>
            <w:szCs w:val="32"/>
            <w:color w:val="0563C1"/>
            <w:u w:val="single"/>
          </w:rPr>
          <w:t xml:space="preserve">https://www.pcd.go.th/</w:t>
        </w:r>
      </w:hyperlink>
    </w:p>
    <w:p>
      <w:pPr>
        <w:spacing w:line="240" w:lineRule="auto" w:after="120"/>
        <w:ind w:left="720" w:hanging="720"/>
      </w:pPr>
      <w:r>
        <w:rPr>
          <w:rFonts w:ascii="TH Sarabun New" w:hAnsi="TH Sarabun New" w:cs="TH Sarabun New" w:eastAsia="TH Sarabun New"/>
          <w:b w:val="0"/>
          <w:i w:val="0"/>
          <w:sz w:val="32"/>
          <w:szCs w:val="32"/>
        </w:rPr>
        <w:t>กระทรวงคมนาคม. (2567). นโยบาย "คมนาคมเพื่อโอกาสประเทศไทย" และโครงการ Quick Win. กรุงเทพฯ: สำนักงานปลัดกระทรวงคมนาคม.</w:t>
      </w:r>
      <w:r>
        <w:rPr>
          <w:rFonts w:ascii="TH Sarabun New" w:hAnsi="TH Sarabun New" w:cs="TH Sarabun New"/>
          <w:sz w:val="32"/>
          <w:szCs w:val="32"/>
        </w:rPr>
        <w:t xml:space="preserve">  สืบค้นจาก </w:t>
      </w:r>
      <w:hyperlink r:id="rId23">
        <w:r>
          <w:rPr>
            <w:rFonts w:ascii="TH Sarabun New" w:hAnsi="TH Sarabun New" w:cs="TH Sarabun New"/>
            <w:sz w:val="32"/>
            <w:szCs w:val="32"/>
            <w:color w:val="0563C1"/>
            <w:u w:val="single"/>
          </w:rPr>
          <w:t xml:space="preserve">https://www.mot.go.th/</w:t>
        </w:r>
      </w:hyperlink>
    </w:p>
    <w:p>
      <w:pPr>
        <w:spacing w:line="240" w:lineRule="auto" w:after="120"/>
        <w:ind w:left="720" w:hanging="720"/>
      </w:pPr>
      <w:r>
        <w:rPr>
          <w:rFonts w:ascii="TH Sarabun New" w:hAnsi="TH Sarabun New" w:cs="TH Sarabun New" w:eastAsia="TH Sarabun New"/>
          <w:b w:val="0"/>
          <w:i w:val="0"/>
          <w:sz w:val="32"/>
          <w:szCs w:val="32"/>
        </w:rPr>
        <w:t>พระราชบัญญัติการบริหารจัดการระบบตั๋วร่วม พ.ศ. 2568. (2568, 27 ธันวาคม). ราชกิจจานุเบกษา. เล่ม 142 ตอนที่ 88 ก.</w:t>
      </w:r>
      <w:r>
        <w:rPr>
          <w:rFonts w:ascii="TH Sarabun New" w:hAnsi="TH Sarabun New" w:cs="TH Sarabun New"/>
          <w:sz w:val="32"/>
          <w:szCs w:val="32"/>
        </w:rPr>
        <w:t xml:space="preserve">  สืบค้นจาก </w:t>
      </w:r>
      <w:hyperlink r:id="rId24">
        <w:r>
          <w:rPr>
            <w:rFonts w:ascii="TH Sarabun New" w:hAnsi="TH Sarabun New" w:cs="TH Sarabun New"/>
            <w:sz w:val="32"/>
            <w:szCs w:val="32"/>
            <w:color w:val="0563C1"/>
            <w:u w:val="single"/>
          </w:rPr>
          <w:t xml:space="preserve">https://prt.parliament.go.th/items/4863ca91-79b1-49ec-b583-3c9223913e8c/full</w:t>
        </w:r>
      </w:hyperlink>
    </w:p>
    <w:p>
      <w:pPr>
        <w:spacing w:line="240" w:lineRule="auto" w:after="120"/>
        <w:ind w:left="720" w:hanging="720"/>
      </w:pPr>
      <w:r>
        <w:rPr>
          <w:rFonts w:ascii="TH Sarabun New" w:hAnsi="TH Sarabun New" w:cs="TH Sarabun New" w:eastAsia="TH Sarabun New"/>
          <w:b w:val="0"/>
          <w:i w:val="0"/>
          <w:sz w:val="32"/>
          <w:szCs w:val="32"/>
        </w:rPr>
        <w:t>พระราชบัญญัติคุ้มครองข้อมูลส่วนบุคคล พ.ศ. 2562. (2562). ราชกิจจานุเบกษา.</w:t>
      </w:r>
      <w:r>
        <w:rPr>
          <w:rFonts w:ascii="TH Sarabun New" w:hAnsi="TH Sarabun New" w:cs="TH Sarabun New"/>
          <w:sz w:val="32"/>
          <w:szCs w:val="32"/>
        </w:rPr>
        <w:t xml:space="preserve">  สืบค้นจาก </w:t>
      </w:r>
      <w:hyperlink r:id="rId25">
        <w:r>
          <w:rPr>
            <w:rFonts w:ascii="TH Sarabun New" w:hAnsi="TH Sarabun New" w:cs="TH Sarabun New"/>
            <w:sz w:val="32"/>
            <w:szCs w:val="32"/>
            <w:color w:val="0563C1"/>
            <w:u w:val="single"/>
          </w:rPr>
          <w:t xml:space="preserve">https://law.prd.go.th/th/content/article/detail/id/2475/iid/234607</w:t>
        </w:r>
      </w:hyperlink>
    </w:p>
    <w:p>
      <w:pPr>
        <w:spacing w:line="240" w:lineRule="auto" w:after="120"/>
        <w:ind w:left="720" w:hanging="720"/>
      </w:pPr>
      <w:r>
        <w:rPr>
          <w:rFonts w:ascii="TH Sarabun New" w:hAnsi="TH Sarabun New" w:cs="TH Sarabun New" w:eastAsia="TH Sarabun New"/>
          <w:b w:val="0"/>
          <w:i w:val="0"/>
          <w:sz w:val="32"/>
          <w:szCs w:val="32"/>
        </w:rPr>
        <w:t>พระราชบัญญัติการรักษาความมั่นคงปลอดภัยไซเบอร์ พ.ศ. 2562. (2562). ราชกิจจานุเบกษา.</w:t>
      </w:r>
      <w:r>
        <w:rPr>
          <w:rFonts w:ascii="TH Sarabun New" w:hAnsi="TH Sarabun New" w:cs="TH Sarabun New"/>
          <w:sz w:val="32"/>
          <w:szCs w:val="32"/>
        </w:rPr>
        <w:t xml:space="preserve">  สืบค้นจาก </w:t>
      </w:r>
      <w:hyperlink r:id="rId26">
        <w:r>
          <w:rPr>
            <w:rFonts w:ascii="TH Sarabun New" w:hAnsi="TH Sarabun New" w:cs="TH Sarabun New"/>
            <w:sz w:val="32"/>
            <w:szCs w:val="32"/>
            <w:color w:val="0563C1"/>
            <w:u w:val="single"/>
          </w:rPr>
          <w:t xml:space="preserve">https://www.dga.or.th/document/106069/</w:t>
        </w:r>
      </w:hyperlink>
    </w:p>
    <w:p>
      <w:pPr>
        <w:spacing w:line="240" w:lineRule="auto" w:after="120"/>
        <w:ind w:left="720" w:hanging="720"/>
      </w:pPr>
      <w:r>
        <w:rPr>
          <w:rFonts w:ascii="TH Sarabun New" w:hAnsi="TH Sarabun New" w:cs="TH Sarabun New" w:eastAsia="TH Sarabun New"/>
          <w:b w:val="0"/>
          <w:i w:val="0"/>
          <w:sz w:val="32"/>
          <w:szCs w:val="32"/>
        </w:rPr>
        <w:t>สำนักงานนโยบายและแผนการขนส่งและจราจร (สนข.). (2566). แผนแม่บทระบบขนส่งมวลชนทางรางในเขตกรุงเทพมหานครและปริมณฑล (M-MAP).</w:t>
      </w:r>
      <w:r>
        <w:rPr>
          <w:rFonts w:ascii="TH Sarabun New" w:hAnsi="TH Sarabun New" w:cs="TH Sarabun New"/>
          <w:sz w:val="32"/>
          <w:szCs w:val="32"/>
        </w:rPr>
        <w:t xml:space="preserve">  สืบค้นจาก </w:t>
      </w:r>
      <w:hyperlink r:id="rId27">
        <w:r>
          <w:rPr>
            <w:rFonts w:ascii="TH Sarabun New" w:hAnsi="TH Sarabun New" w:cs="TH Sarabun New"/>
            <w:sz w:val="32"/>
            <w:szCs w:val="32"/>
            <w:color w:val="0563C1"/>
            <w:u w:val="single"/>
          </w:rPr>
          <w:t xml:space="preserve">https://www.otp.go.th/</w:t>
        </w:r>
      </w:hyperlink>
    </w:p>
    <w:p>
      <w:pPr>
        <w:spacing w:line="240" w:lineRule="auto" w:after="120"/>
        <w:ind w:left="720" w:hanging="720"/>
      </w:pPr>
      <w:r>
        <w:rPr>
          <w:rFonts w:ascii="TH Sarabun New" w:hAnsi="TH Sarabun New" w:cs="TH Sarabun New" w:eastAsia="TH Sarabun New"/>
          <w:b w:val="0"/>
          <w:i w:val="0"/>
          <w:sz w:val="32"/>
          <w:szCs w:val="32"/>
        </w:rPr>
        <w:t>สำนักงานนโยบายและแผนทรัพยากรธรรมชาติและสิ่งแวดล้อม. (2565). ยุทธศาสตร์ระยะยาวในการพัฒนาแบบปล่อยก๊าซเรือนกระจกต่ำของประเทศไทย.</w:t>
      </w:r>
      <w:r>
        <w:rPr>
          <w:rFonts w:ascii="TH Sarabun New" w:hAnsi="TH Sarabun New" w:cs="TH Sarabun New"/>
          <w:sz w:val="32"/>
          <w:szCs w:val="32"/>
        </w:rPr>
        <w:t xml:space="preserve">  สืบค้นจาก </w:t>
      </w:r>
      <w:hyperlink r:id="rId28">
        <w:r>
          <w:rPr>
            <w:rFonts w:ascii="TH Sarabun New" w:hAnsi="TH Sarabun New" w:cs="TH Sarabun New"/>
            <w:sz w:val="32"/>
            <w:szCs w:val="32"/>
            <w:color w:val="0563C1"/>
            <w:u w:val="single"/>
          </w:rPr>
          <w:t xml:space="preserve">https://climate.onep.go.th/th/tag/lt-leds/</w:t>
        </w:r>
      </w:hyperlink>
    </w:p>
    <w:p>
      <w:pPr>
        <w:spacing w:line="240" w:lineRule="auto" w:after="120"/>
        <w:ind w:left="720" w:hanging="720"/>
      </w:pPr>
      <w:r>
        <w:rPr>
          <w:rFonts w:ascii="TH Sarabun New" w:hAnsi="TH Sarabun New" w:cs="TH Sarabun New" w:eastAsia="TH Sarabun New"/>
          <w:b w:val="0"/>
          <w:i w:val="0"/>
          <w:sz w:val="32"/>
          <w:szCs w:val="32"/>
        </w:rPr>
        <w:t>สำนักงานสภาพัฒนาการเศรษฐกิจและสังคมแห่งชาติ. (2565). แผนพัฒนาเศรษฐกิจและสังคมแห่งชาติ ฉบับที่ 13 (พ.ศ. 2566-2570).</w:t>
      </w:r>
      <w:r>
        <w:rPr>
          <w:rFonts w:ascii="TH Sarabun New" w:hAnsi="TH Sarabun New" w:cs="TH Sarabun New"/>
          <w:sz w:val="32"/>
          <w:szCs w:val="32"/>
        </w:rPr>
        <w:t xml:space="preserve">  สืบค้นจาก </w:t>
      </w:r>
      <w:hyperlink r:id="rId29">
        <w:r>
          <w:rPr>
            <w:rFonts w:ascii="TH Sarabun New" w:hAnsi="TH Sarabun New" w:cs="TH Sarabun New"/>
            <w:sz w:val="32"/>
            <w:szCs w:val="32"/>
            <w:color w:val="0563C1"/>
            <w:u w:val="single"/>
          </w:rPr>
          <w:t xml:space="preserve">https://www.nesdc.go.th/download/the-13th-national-economic-and-social-development-plan-peoples-edition/</w:t>
        </w:r>
      </w:hyperlink>
    </w:p>
    <w:p>
      <w:pPr>
        <w:spacing w:line="240" w:lineRule="auto" w:after="120"/>
        <w:ind w:left="720" w:hanging="720"/>
      </w:pPr>
      <w:r>
        <w:rPr>
          <w:rFonts w:ascii="TH Sarabun New" w:hAnsi="TH Sarabun New" w:cs="TH Sarabun New" w:eastAsia="TH Sarabun New"/>
          <w:b w:val="0"/>
          <w:i w:val="0"/>
          <w:sz w:val="32"/>
          <w:szCs w:val="32"/>
        </w:rPr>
        <w:t>สำนักงานสภาพัฒนาการเศรษฐกิจและสังคมแห่งชาติ. (2561). ยุทธศาสตร์ชาติ พ.ศ. 2561-2580.</w:t>
      </w:r>
      <w:r>
        <w:rPr>
          <w:rFonts w:ascii="TH Sarabun New" w:hAnsi="TH Sarabun New" w:cs="TH Sarabun New"/>
          <w:sz w:val="32"/>
          <w:szCs w:val="32"/>
        </w:rPr>
        <w:t xml:space="preserve">  สืบค้นจาก </w:t>
      </w:r>
      <w:hyperlink r:id="rId30">
        <w:r>
          <w:rPr>
            <w:rFonts w:ascii="TH Sarabun New" w:hAnsi="TH Sarabun New" w:cs="TH Sarabun New"/>
            <w:sz w:val="32"/>
            <w:szCs w:val="32"/>
            <w:color w:val="0563C1"/>
            <w:u w:val="single"/>
          </w:rPr>
          <w:t xml:space="preserve">https://www.nesdc.go.th/nscr/main/</w:t>
        </w:r>
      </w:hyperlink>
    </w:p>
    <w:p>
      <w:pPr>
        <w:spacing w:line="240" w:lineRule="auto" w:after="120"/>
        <w:ind w:left="720" w:hanging="720"/>
      </w:pPr>
      <w:r>
        <w:rPr>
          <w:rFonts w:ascii="TH Sarabun New" w:hAnsi="TH Sarabun New" w:cs="TH Sarabun New" w:eastAsia="TH Sarabun New"/>
          <w:b w:val="0"/>
          <w:i w:val="0"/>
          <w:sz w:val="32"/>
          <w:szCs w:val="32"/>
        </w:rPr>
        <w:t>สำนักงานคณะกรรมการส่งเสริมการลงทุน. (2565). มาตรการส่งเสริมยานยนต์ไฟฟ้า (EV) และนโยบาย 30@30.</w:t>
      </w:r>
      <w:r>
        <w:rPr>
          <w:rFonts w:ascii="TH Sarabun New" w:hAnsi="TH Sarabun New" w:cs="TH Sarabun New"/>
          <w:sz w:val="32"/>
          <w:szCs w:val="32"/>
        </w:rPr>
        <w:t xml:space="preserve">  สืบค้นจาก </w:t>
      </w:r>
      <w:hyperlink r:id="rId31">
        <w:r>
          <w:rPr>
            <w:rFonts w:ascii="TH Sarabun New" w:hAnsi="TH Sarabun New" w:cs="TH Sarabun New"/>
            <w:sz w:val="32"/>
            <w:szCs w:val="32"/>
            <w:color w:val="0563C1"/>
            <w:u w:val="single"/>
          </w:rPr>
          <w:t xml:space="preserve">https://www.boi.go.th/</w:t>
        </w:r>
      </w:hyperlink>
    </w:p>
    <w:p>
      <w:pPr>
        <w:spacing w:line="240" w:lineRule="auto" w:after="120"/>
        <w:ind w:left="720" w:hanging="720"/>
      </w:pPr>
      <w:r>
        <w:rPr>
          <w:rFonts w:ascii="TH Sarabun New" w:hAnsi="TH Sarabun New" w:cs="TH Sarabun New" w:eastAsia="TH Sarabun New"/>
          <w:b w:val="0"/>
          <w:i w:val="0"/>
          <w:sz w:val="32"/>
          <w:szCs w:val="32"/>
        </w:rPr>
        <w:t>สำนักงานพัฒนาธุรกรรมทางอิเล็กทรอนิกส์. (2566). มาตรฐานการยืนยันตัวตนทางดิจิทัล (Digital ID).</w:t>
      </w:r>
      <w:r>
        <w:rPr>
          <w:rFonts w:ascii="TH Sarabun New" w:hAnsi="TH Sarabun New" w:cs="TH Sarabun New"/>
          <w:sz w:val="32"/>
          <w:szCs w:val="32"/>
        </w:rPr>
        <w:t xml:space="preserve">  สืบค้นจาก </w:t>
      </w:r>
      <w:hyperlink r:id="rId32">
        <w:r>
          <w:rPr>
            <w:rFonts w:ascii="TH Sarabun New" w:hAnsi="TH Sarabun New" w:cs="TH Sarabun New"/>
            <w:sz w:val="32"/>
            <w:szCs w:val="32"/>
            <w:color w:val="0563C1"/>
            <w:u w:val="single"/>
          </w:rPr>
          <w:t xml:space="preserve">https://www.etda.or.th/th/regulator/DigitalID/index.aspx</w:t>
        </w:r>
      </w:hyperlink>
    </w:p>
    <w:p>
      <w:pPr>
        <w:spacing w:line="240" w:lineRule="auto" w:after="120"/>
        <w:ind w:left="720" w:hanging="720"/>
      </w:pPr>
      <w:r>
        <w:rPr>
          <w:rFonts w:ascii="TH Sarabun New" w:hAnsi="TH Sarabun New" w:cs="TH Sarabun New" w:eastAsia="TH Sarabun New"/>
          <w:b w:val="0"/>
          <w:i w:val="0"/>
          <w:sz w:val="32"/>
          <w:szCs w:val="32"/>
        </w:rPr>
        <w:t>สถาบันวิจัยเพื่อการพัฒนาประเทศไทย (TDRI). (2565). ต้นทุนทางเศรษฐกิจของปัญหาการจราจรในเขตเมือง.</w:t>
      </w:r>
      <w:r>
        <w:rPr>
          <w:rFonts w:ascii="TH Sarabun New" w:hAnsi="TH Sarabun New" w:cs="TH Sarabun New"/>
          <w:sz w:val="32"/>
          <w:szCs w:val="32"/>
        </w:rPr>
        <w:t xml:space="preserve">  สืบค้นจาก </w:t>
      </w:r>
      <w:hyperlink r:id="rId33">
        <w:r>
          <w:rPr>
            <w:rFonts w:ascii="TH Sarabun New" w:hAnsi="TH Sarabun New" w:cs="TH Sarabun New"/>
            <w:sz w:val="32"/>
            <w:szCs w:val="32"/>
            <w:color w:val="0563C1"/>
            <w:u w:val="single"/>
          </w:rPr>
          <w:t xml:space="preserve">https://tdri.or.th/</w:t>
        </w:r>
      </w:hyperlink>
    </w:p>
    <w:p>
      <w:pPr>
        <w:spacing w:line="240" w:lineRule="auto" w:after="120"/>
        <w:ind w:left="720" w:hanging="720"/>
      </w:pPr>
      <w:r>
        <w:rPr>
          <w:rFonts w:ascii="TH Sarabun New" w:hAnsi="TH Sarabun New" w:cs="TH Sarabun New" w:eastAsia="TH Sarabun New"/>
          <w:b w:val="0"/>
          <w:i w:val="0"/>
          <w:sz w:val="32"/>
          <w:szCs w:val="32"/>
        </w:rPr>
        <w:t>องค์การบริหารส่วนจังหวัดสมุทรปราการ. (2566). ข้อมูลพื้นฐานและแผนพัฒนาจังหวัดสมุทรปราการ.</w:t>
      </w:r>
      <w:r>
        <w:rPr>
          <w:rFonts w:ascii="TH Sarabun New" w:hAnsi="TH Sarabun New" w:cs="TH Sarabun New"/>
          <w:sz w:val="32"/>
          <w:szCs w:val="32"/>
        </w:rPr>
        <w:t xml:space="preserve">  สืบค้นจาก </w:t>
      </w:r>
      <w:hyperlink r:id="rId34">
        <w:r>
          <w:rPr>
            <w:rFonts w:ascii="TH Sarabun New" w:hAnsi="TH Sarabun New" w:cs="TH Sarabun New"/>
            <w:sz w:val="32"/>
            <w:szCs w:val="32"/>
            <w:color w:val="0563C1"/>
            <w:u w:val="single"/>
          </w:rPr>
          <w:t xml:space="preserve">http://samutprakan-pao.go.th/</w:t>
        </w:r>
      </w:hyperlink>
    </w:p>
    <w:p>
      <w:pPr>
        <w:spacing w:line="240" w:lineRule="auto" w:after="120"/>
        <w:ind w:left="720" w:hanging="720"/>
      </w:pPr>
      <w:r>
        <w:rPr>
          <w:rFonts w:ascii="TH Sarabun New" w:hAnsi="TH Sarabun New" w:cs="TH Sarabun New" w:eastAsia="TH Sarabun New"/>
          <w:b w:val="0"/>
          <w:i w:val="0"/>
          <w:sz w:val="32"/>
          <w:szCs w:val="32"/>
        </w:rPr>
        <w:t>Hietanen, S. (2014). Mobility as a Service: The new transport model? Eurotransport, 12(2), 2-4.</w:t>
      </w:r>
      <w:r>
        <w:rPr>
          <w:rFonts w:ascii="TH Sarabun New" w:hAnsi="TH Sarabun New" w:cs="TH Sarabun New"/>
          <w:sz w:val="32"/>
          <w:szCs w:val="32"/>
        </w:rPr>
        <w:t xml:space="preserve">  Retrieved from </w:t>
      </w:r>
      <w:hyperlink r:id="rId35">
        <w:r>
          <w:rPr>
            <w:rFonts w:ascii="TH Sarabun New" w:hAnsi="TH Sarabun New" w:cs="TH Sarabun New"/>
            <w:sz w:val="32"/>
            <w:szCs w:val="32"/>
            <w:color w:val="0563C1"/>
            <w:u w:val="single"/>
          </w:rPr>
          <w:t xml:space="preserve">https://www.intelligenttransport.com/digital/et-its-supplement-2014/offline/download.pdf</w:t>
        </w:r>
      </w:hyperlink>
    </w:p>
    <w:p>
      <w:pPr>
        <w:spacing w:line="240" w:lineRule="auto" w:after="120"/>
        <w:ind w:left="720" w:hanging="720"/>
      </w:pPr>
      <w:r>
        <w:rPr>
          <w:rFonts w:ascii="TH Sarabun New" w:hAnsi="TH Sarabun New" w:cs="TH Sarabun New" w:eastAsia="TH Sarabun New"/>
          <w:b w:val="0"/>
          <w:i w:val="0"/>
          <w:sz w:val="32"/>
          <w:szCs w:val="32"/>
        </w:rPr>
        <w:t>Mukhtar-Landgren, D., &amp; Smith, G. (2019). Perceived action spaces for public actors in the development of MaaS. European Transport Research Review, 11(32).</w:t>
      </w:r>
      <w:r>
        <w:rPr>
          <w:rFonts w:ascii="TH Sarabun New" w:hAnsi="TH Sarabun New" w:cs="TH Sarabun New"/>
          <w:sz w:val="32"/>
          <w:szCs w:val="32"/>
        </w:rPr>
        <w:t xml:space="preserve">  </w:t>
      </w:r>
      <w:hyperlink r:id="rId36">
        <w:r>
          <w:rPr>
            <w:rFonts w:ascii="TH Sarabun New" w:hAnsi="TH Sarabun New" w:cs="TH Sarabun New"/>
            <w:sz w:val="32"/>
            <w:szCs w:val="32"/>
            <w:color w:val="0563C1"/>
            <w:u w:val="single"/>
          </w:rPr>
          <w:t xml:space="preserve">https://doi.org/10.1186/s12544-019-0363-7</w:t>
        </w:r>
      </w:hyperlink>
    </w:p>
    <w:p>
      <w:pPr>
        <w:spacing w:line="240" w:lineRule="auto" w:after="120"/>
        <w:ind w:left="720" w:hanging="720"/>
      </w:pPr>
      <w:r>
        <w:rPr>
          <w:rFonts w:ascii="TH Sarabun New" w:hAnsi="TH Sarabun New" w:cs="TH Sarabun New" w:eastAsia="TH Sarabun New"/>
          <w:b w:val="0"/>
          <w:i w:val="0"/>
          <w:sz w:val="32"/>
          <w:szCs w:val="32"/>
        </w:rPr>
        <w:t>Pangbourne, K., et al. (2020). Questioning mobility as a service. Transportation Research Part A, 131, 35-49.</w:t>
      </w:r>
      <w:r>
        <w:rPr>
          <w:rFonts w:ascii="TH Sarabun New" w:hAnsi="TH Sarabun New" w:cs="TH Sarabun New"/>
          <w:sz w:val="32"/>
          <w:szCs w:val="32"/>
        </w:rPr>
        <w:t xml:space="preserve">  </w:t>
      </w:r>
      <w:hyperlink r:id="rId37">
        <w:r>
          <w:rPr>
            <w:rFonts w:ascii="TH Sarabun New" w:hAnsi="TH Sarabun New" w:cs="TH Sarabun New"/>
            <w:sz w:val="32"/>
            <w:szCs w:val="32"/>
            <w:color w:val="0563C1"/>
            <w:u w:val="single"/>
          </w:rPr>
          <w:t xml:space="preserve">https://doi.org/10.1016/j.tra.2019.09.033</w:t>
        </w:r>
      </w:hyperlink>
    </w:p>
    <w:p>
      <w:pPr>
        <w:spacing w:line="240" w:lineRule="auto" w:after="120"/>
        <w:ind w:left="720" w:hanging="720"/>
      </w:pPr>
      <w:r>
        <w:rPr>
          <w:rFonts w:ascii="TH Sarabun New" w:hAnsi="TH Sarabun New" w:cs="TH Sarabun New" w:eastAsia="TH Sarabun New"/>
          <w:b w:val="0"/>
          <w:i w:val="0"/>
          <w:sz w:val="32"/>
          <w:szCs w:val="32"/>
        </w:rPr>
        <w:t>Land Transport Authority of Singapore. (2022). Electronic Road Pricing (ERP) and the Vehicle Quota System.</w:t>
      </w:r>
      <w:r>
        <w:rPr>
          <w:rFonts w:ascii="TH Sarabun New" w:hAnsi="TH Sarabun New" w:cs="TH Sarabun New"/>
          <w:sz w:val="32"/>
          <w:szCs w:val="32"/>
        </w:rPr>
        <w:t xml:space="preserve">  Retrieved from </w:t>
      </w:r>
      <w:hyperlink r:id="rId38">
        <w:r>
          <w:rPr>
            <w:rFonts w:ascii="TH Sarabun New" w:hAnsi="TH Sarabun New" w:cs="TH Sarabun New"/>
            <w:sz w:val="32"/>
            <w:szCs w:val="32"/>
            <w:color w:val="0563C1"/>
            <w:u w:val="single"/>
          </w:rPr>
          <w:t xml:space="preserve">https://www.lta.gov.sg/content/ltagov/en/who_we_are/our_work/road.html</w:t>
        </w:r>
      </w:hyperlink>
    </w:p>
    <w:p>
      <w:pPr>
        <w:spacing w:line="240" w:lineRule="auto" w:after="120"/>
        <w:ind w:left="720" w:hanging="720"/>
      </w:pPr>
      <w:r>
        <w:rPr>
          <w:rFonts w:ascii="TH Sarabun New" w:hAnsi="TH Sarabun New" w:cs="TH Sarabun New" w:eastAsia="TH Sarabun New"/>
          <w:b w:val="0"/>
          <w:i w:val="0"/>
          <w:sz w:val="32"/>
          <w:szCs w:val="32"/>
        </w:rPr>
        <w:t>Seoul Metropolitan Government. (2021). Seoul Public Transport Reform and T-money Integration.</w:t>
      </w:r>
      <w:r>
        <w:rPr>
          <w:rFonts w:ascii="TH Sarabun New" w:hAnsi="TH Sarabun New" w:cs="TH Sarabun New"/>
          <w:sz w:val="32"/>
          <w:szCs w:val="32"/>
        </w:rPr>
        <w:t xml:space="preserve">  Retrieved from </w:t>
      </w:r>
      <w:hyperlink r:id="rId39">
        <w:r>
          <w:rPr>
            <w:rFonts w:ascii="TH Sarabun New" w:hAnsi="TH Sarabun New" w:cs="TH Sarabun New"/>
            <w:sz w:val="32"/>
            <w:szCs w:val="32"/>
            <w:color w:val="0563C1"/>
            <w:u w:val="single"/>
          </w:rPr>
          <w:t xml:space="preserve">https://www.seoulsolution.kr/en/content/one-card-fits-all-integrated-public-transport-fare-system</w:t>
        </w:r>
      </w:hyperlink>
    </w:p>
    <w:p>
      <w:pPr>
        <w:spacing w:line="240" w:lineRule="auto" w:after="120"/>
        <w:ind w:left="720" w:hanging="720"/>
      </w:pPr>
      <w:r>
        <w:rPr>
          <w:rFonts w:ascii="TH Sarabun New" w:hAnsi="TH Sarabun New" w:cs="TH Sarabun New" w:eastAsia="TH Sarabun New"/>
          <w:b w:val="0"/>
          <w:i w:val="0"/>
          <w:sz w:val="32"/>
          <w:szCs w:val="32"/>
        </w:rPr>
        <w:t>International Energy Agency. (2023). Global EV Outlook 2023. Paris: IEA.</w:t>
      </w:r>
      <w:r>
        <w:rPr>
          <w:rFonts w:ascii="TH Sarabun New" w:hAnsi="TH Sarabun New" w:cs="TH Sarabun New"/>
          <w:sz w:val="32"/>
          <w:szCs w:val="32"/>
        </w:rPr>
        <w:t xml:space="preserve">  Retrieved from </w:t>
      </w:r>
      <w:hyperlink r:id="rId40">
        <w:r>
          <w:rPr>
            <w:rFonts w:ascii="TH Sarabun New" w:hAnsi="TH Sarabun New" w:cs="TH Sarabun New"/>
            <w:sz w:val="32"/>
            <w:szCs w:val="32"/>
            <w:color w:val="0563C1"/>
            <w:u w:val="single"/>
          </w:rPr>
          <w:t xml:space="preserve">https://www.iea.org/reports/global-ev-outlook-2023</w:t>
        </w:r>
      </w:hyperlink>
    </w:p>
    <w:p>
      <w:pPr>
        <w:spacing w:line="240" w:lineRule="auto" w:after="120"/>
        <w:ind w:left="720" w:hanging="720"/>
      </w:pPr>
      <w:r>
        <w:rPr>
          <w:rFonts w:ascii="TH Sarabun New" w:hAnsi="TH Sarabun New" w:cs="TH Sarabun New" w:eastAsia="TH Sarabun New"/>
          <w:b w:val="0"/>
          <w:i w:val="0"/>
          <w:sz w:val="32"/>
          <w:szCs w:val="32"/>
        </w:rPr>
        <w:t>Sochor, J., Arby, H., Karlsson, I. C. M., &amp; Sarasini, S. (2018). A topological approach to Mobility as a Service. Research in Transportation Business &amp; Management, 27, 3-14.</w:t>
      </w:r>
      <w:r>
        <w:rPr>
          <w:rFonts w:ascii="TH Sarabun New" w:hAnsi="TH Sarabun New" w:cs="TH Sarabun New"/>
          <w:sz w:val="32"/>
          <w:szCs w:val="32"/>
        </w:rPr>
        <w:t xml:space="preserve">  Retrieved from </w:t>
      </w:r>
      <w:hyperlink r:id="rId41">
        <w:r>
          <w:rPr>
            <w:rFonts w:ascii="TH Sarabun New" w:hAnsi="TH Sarabun New" w:cs="TH Sarabun New"/>
            <w:sz w:val="32"/>
            <w:szCs w:val="32"/>
            <w:color w:val="0563C1"/>
            <w:u w:val="single"/>
          </w:rPr>
          <w:t xml:space="preserve">https://www.sciencedirect.com/science/article/abs/pii/S2210539518300476</w:t>
        </w:r>
      </w:hyperlink>
    </w:p>
    <w:p>
      <w:pPr>
        <w:spacing w:line="240" w:lineRule="auto" w:after="120"/>
        <w:ind w:left="720" w:hanging="720"/>
      </w:pPr>
      <w:r>
        <w:rPr>
          <w:rFonts w:ascii="TH Sarabun New" w:hAnsi="TH Sarabun New" w:cs="TH Sarabun New" w:eastAsia="TH Sarabun New"/>
          <w:b w:val="0"/>
          <w:i w:val="0"/>
          <w:sz w:val="32"/>
          <w:szCs w:val="32"/>
        </w:rPr>
        <w:t>TomTom. (2023). TomTom Traffic Index 2023. Amsterdam: TomTom International BV.</w:t>
      </w:r>
      <w:r>
        <w:rPr>
          <w:rFonts w:ascii="TH Sarabun New" w:hAnsi="TH Sarabun New" w:cs="TH Sarabun New"/>
          <w:sz w:val="32"/>
          <w:szCs w:val="32"/>
        </w:rPr>
        <w:t xml:space="preserve">  Retrieved from </w:t>
      </w:r>
      <w:hyperlink r:id="rId42">
        <w:r>
          <w:rPr>
            <w:rFonts w:ascii="TH Sarabun New" w:hAnsi="TH Sarabun New" w:cs="TH Sarabun New"/>
            <w:sz w:val="32"/>
            <w:szCs w:val="32"/>
            <w:color w:val="0563C1"/>
            <w:u w:val="single"/>
          </w:rPr>
          <w:t xml:space="preserve">https://www.tomtom.com/traffic-index/ranking</w:t>
        </w:r>
      </w:hyperlink>
    </w:p>
    <w:p>
      <w:pPr>
        <w:spacing w:line="240" w:lineRule="auto" w:after="120"/>
        <w:ind w:left="720" w:hanging="720"/>
      </w:pPr>
      <w:r>
        <w:rPr>
          <w:rFonts w:ascii="TH Sarabun New" w:hAnsi="TH Sarabun New" w:cs="TH Sarabun New" w:eastAsia="TH Sarabun New"/>
          <w:b w:val="0"/>
          <w:i w:val="0"/>
          <w:sz w:val="32"/>
          <w:szCs w:val="32"/>
        </w:rPr>
        <w:t>Transport for London. (2023). Contactless and mobile pay-as-you-go statistics. London: TfL.</w:t>
      </w:r>
      <w:r>
        <w:rPr>
          <w:rFonts w:ascii="TH Sarabun New" w:hAnsi="TH Sarabun New" w:cs="TH Sarabun New"/>
          <w:sz w:val="32"/>
          <w:szCs w:val="32"/>
        </w:rPr>
        <w:t xml:space="preserve">  Retrieved from </w:t>
      </w:r>
      <w:hyperlink r:id="rId43">
        <w:r>
          <w:rPr>
            <w:rFonts w:ascii="TH Sarabun New" w:hAnsi="TH Sarabun New" w:cs="TH Sarabun New"/>
            <w:sz w:val="32"/>
            <w:szCs w:val="32"/>
            <w:color w:val="0563C1"/>
            <w:u w:val="single"/>
          </w:rPr>
          <w:t xml:space="preserve">https://tfl.gov.uk/fares/ways-to-pay/pay-as-you-go</w:t>
        </w:r>
      </w:hyperlink>
    </w:p>
    <w:p>
      <w:pPr>
        <w:spacing w:line="240" w:lineRule="auto" w:after="120"/>
        <w:ind w:left="720" w:hanging="720"/>
      </w:pPr>
      <w:r>
        <w:rPr>
          <w:rFonts w:ascii="TH Sarabun New" w:hAnsi="TH Sarabun New" w:cs="TH Sarabun New" w:eastAsia="TH Sarabun New"/>
          <w:b w:val="0"/>
          <w:i w:val="0"/>
          <w:sz w:val="32"/>
          <w:szCs w:val="32"/>
        </w:rPr>
        <w:t>World Bank. (2023). Thailand Economic Monitor: Urban Transport and Congestion. Bangkok: World Bank.</w:t>
      </w:r>
      <w:r>
        <w:rPr>
          <w:rFonts w:ascii="TH Sarabun New" w:hAnsi="TH Sarabun New" w:cs="TH Sarabun New"/>
          <w:sz w:val="32"/>
          <w:szCs w:val="32"/>
        </w:rPr>
        <w:t xml:space="preserve">  Retrieved from </w:t>
      </w:r>
      <w:hyperlink r:id="rId44">
        <w:r>
          <w:rPr>
            <w:rFonts w:ascii="TH Sarabun New" w:hAnsi="TH Sarabun New" w:cs="TH Sarabun New"/>
            <w:sz w:val="32"/>
            <w:szCs w:val="32"/>
            <w:color w:val="0563C1"/>
            <w:u w:val="single"/>
          </w:rPr>
          <w:t xml:space="preserve">https://www.worldbank.org/en/country/thailand/publication/thailand-economic-monitor-reports</w:t>
        </w:r>
      </w:hyperlink>
    </w:p>
    <w:p>
      <w:pPr>
        <w:spacing w:line="240" w:lineRule="auto" w:after="120"/>
        <w:ind w:left="720" w:hanging="720"/>
      </w:pPr>
      <w:r>
        <w:rPr>
          <w:rFonts w:ascii="TH Sarabun New" w:hAnsi="TH Sarabun New" w:cs="TH Sarabun New" w:eastAsia="TH Sarabun New"/>
          <w:b w:val="0"/>
          <w:i w:val="0"/>
          <w:sz w:val="32"/>
          <w:szCs w:val="32"/>
        </w:rPr>
        <w:t>Berliner Verkehrsbetriebe (BVG). (2023). Jelbi: Berlin’s Mobility-as-a-Service Platform.</w:t>
      </w:r>
      <w:r>
        <w:rPr>
          <w:rFonts w:ascii="TH Sarabun New" w:hAnsi="TH Sarabun New" w:cs="TH Sarabun New"/>
          <w:sz w:val="32"/>
          <w:szCs w:val="32"/>
        </w:rPr>
        <w:t xml:space="preserve">  Retrieved from </w:t>
      </w:r>
      <w:hyperlink r:id="rId45">
        <w:r>
          <w:rPr>
            <w:rFonts w:ascii="TH Sarabun New" w:hAnsi="TH Sarabun New" w:cs="TH Sarabun New"/>
            <w:sz w:val="32"/>
            <w:szCs w:val="32"/>
            <w:color w:val="0563C1"/>
            <w:u w:val="single"/>
          </w:rPr>
          <w:t xml:space="preserve">https://www.jelbi.de/en/home/</w:t>
        </w:r>
      </w:hyperlink>
    </w:p>
    <w:p>
      <w:pPr>
        <w:spacing w:line="240" w:lineRule="auto" w:after="120"/>
        <w:ind w:left="720" w:hanging="720"/>
      </w:pPr>
      <w:r>
        <w:rPr>
          <w:rFonts w:ascii="TH Sarabun New" w:hAnsi="TH Sarabun New" w:cs="TH Sarabun New" w:eastAsia="TH Sarabun New"/>
          <w:b w:val="0"/>
          <w:i w:val="0"/>
          <w:sz w:val="32"/>
          <w:szCs w:val="32"/>
        </w:rPr>
        <w:t>Wiener Linien. (2023). WienMobil and the 365-Euro Annual Ticket. Vienna: Wiener Linien.</w:t>
      </w:r>
      <w:r>
        <w:rPr>
          <w:rFonts w:ascii="TH Sarabun New" w:hAnsi="TH Sarabun New" w:cs="TH Sarabun New"/>
          <w:sz w:val="32"/>
          <w:szCs w:val="32"/>
        </w:rPr>
        <w:t xml:space="preserve">  Retrieved from </w:t>
      </w:r>
      <w:hyperlink r:id="rId46">
        <w:r>
          <w:rPr>
            <w:rFonts w:ascii="TH Sarabun New" w:hAnsi="TH Sarabun New" w:cs="TH Sarabun New"/>
            <w:sz w:val="32"/>
            <w:szCs w:val="32"/>
            <w:color w:val="0563C1"/>
            <w:u w:val="single"/>
          </w:rPr>
          <w:t xml:space="preserve">https://www.wienerlinien.at/web/wl-en/annual-pass</w:t>
        </w:r>
      </w:hyperlink>
    </w:p>
    <w:p>
      <w:pPr>
        <w:spacing w:line="240" w:lineRule="auto" w:after="120"/>
        <w:ind w:left="720" w:hanging="720"/>
      </w:pPr>
      <w:r>
        <w:rPr>
          <w:rFonts w:ascii="TH Sarabun New" w:hAnsi="TH Sarabun New" w:cs="TH Sarabun New" w:eastAsia="TH Sarabun New"/>
          <w:b w:val="0"/>
          <w:i w:val="0"/>
          <w:sz w:val="32"/>
          <w:szCs w:val="32"/>
        </w:rPr>
        <w:t>United Nations. (2015). Transforming Our World: The 2030 Agenda for Sustainable Development (SDGs).</w:t>
      </w:r>
      <w:r>
        <w:rPr>
          <w:rFonts w:ascii="TH Sarabun New" w:hAnsi="TH Sarabun New" w:cs="TH Sarabun New"/>
          <w:sz w:val="32"/>
          <w:szCs w:val="32"/>
        </w:rPr>
        <w:t xml:space="preserve">  Retrieved from </w:t>
      </w:r>
      <w:hyperlink r:id="rId47">
        <w:r>
          <w:rPr>
            <w:rFonts w:ascii="TH Sarabun New" w:hAnsi="TH Sarabun New" w:cs="TH Sarabun New"/>
            <w:sz w:val="32"/>
            <w:szCs w:val="32"/>
            <w:color w:val="0563C1"/>
            <w:u w:val="single"/>
          </w:rPr>
          <w:t xml:space="preserve">https://sdgs.un.org/2030agenda</w:t>
        </w:r>
      </w:hyperlink>
    </w:p>
    <w:p>
      <w:pPr>
        <w:jc w:val="thaiDistribute"/>
      </w:pPr>
      <w:r>
        <w:rPr>
          <w:rFonts w:ascii="TH Sarabun New" w:hAnsi="TH Sarabun New" w:cs="TH Sarabun New"/>
          <w:sz w:val="32"/>
          <w:szCs w:val="32"/>
        </w:rPr>
        <w:t xml:space="preserve">Stavros, J. M., Cooperrider, D., &amp; Kelley, D. L. (2003). Strategic inquiry with appreciative intent: Inspiration to SOAR. AI Practitioner, November, 10-17.</w:t>
      </w:r>
      <w:r>
        <w:rPr>
          <w:rFonts w:ascii="TH Sarabun New" w:hAnsi="TH Sarabun New" w:cs="TH Sarabun New"/>
          <w:sz w:val="32"/>
          <w:szCs w:val="32"/>
        </w:rPr>
        <w:t xml:space="preserve">  Retrieved from </w:t>
      </w:r>
      <w:hyperlink r:id="rId48">
        <w:r>
          <w:rPr>
            <w:rFonts w:ascii="TH Sarabun New" w:hAnsi="TH Sarabun New" w:cs="TH Sarabun New"/>
            <w:sz w:val="32"/>
            <w:szCs w:val="32"/>
            <w:color w:val="0563C1"/>
            <w:u w:val="single"/>
          </w:rPr>
          <w:t xml:space="preserve">https://www.researchgate.net/publication/285057032_Strategic_inquiry_with_appreciative_intent_Inspiration_to_SOAR</w:t>
        </w:r>
      </w:hyperlink>
    </w:p>
    <w:p>
      <w:pPr>
        <w:jc w:val="thaiDistribute"/>
      </w:pPr>
      <w:r>
        <w:rPr>
          <w:rFonts w:ascii="TH Sarabun New" w:hAnsi="TH Sarabun New" w:cs="TH Sarabun New"/>
          <w:sz w:val="32"/>
          <w:szCs w:val="32"/>
        </w:rPr>
        <w:t xml:space="preserve">Stavros, J. M., et al. (2022). Measuring Strengths, Opportunities, Aspirations, and Results: Psychometric Properties of the 12-Item SOAR Scale. Frontiers in Psychology.</w:t>
      </w:r>
      <w:r>
        <w:rPr>
          <w:rFonts w:ascii="TH Sarabun New" w:hAnsi="TH Sarabun New" w:cs="TH Sarabun New"/>
          <w:sz w:val="32"/>
          <w:szCs w:val="32"/>
        </w:rPr>
        <w:t xml:space="preserve">  Retrieved from </w:t>
      </w:r>
      <w:hyperlink r:id="rId49">
        <w:r>
          <w:rPr>
            <w:rFonts w:ascii="TH Sarabun New" w:hAnsi="TH Sarabun New" w:cs="TH Sarabun New"/>
            <w:sz w:val="32"/>
            <w:szCs w:val="32"/>
            <w:color w:val="0563C1"/>
            <w:u w:val="single"/>
          </w:rPr>
          <w:t xml:space="preserve">https://pmc.ncbi.nlm.nih.gov/articles/PMC9028961/</w:t>
        </w:r>
      </w:hyperlink>
    </w:p>
    <w:p>
      <w:pPr>
        <w:jc w:val="thaiDistribute"/>
      </w:pPr>
      <w:r>
        <w:rPr>
          <w:rFonts w:ascii="TH Sarabun New" w:hAnsi="TH Sarabun New" w:cs="TH Sarabun New"/>
          <w:sz w:val="32"/>
          <w:szCs w:val="32"/>
        </w:rPr>
        <w:t xml:space="preserve">Traffic Technology Today. (2024). MaaS Global (Whim) declares bankruptcy.</w:t>
      </w:r>
      <w:r>
        <w:rPr>
          <w:rFonts w:ascii="TH Sarabun New" w:hAnsi="TH Sarabun New" w:cs="TH Sarabun New"/>
          <w:sz w:val="32"/>
          <w:szCs w:val="32"/>
        </w:rPr>
        <w:t xml:space="preserve">  Retrieved from </w:t>
      </w:r>
      <w:hyperlink r:id="rId50">
        <w:r>
          <w:rPr>
            <w:rFonts w:ascii="TH Sarabun New" w:hAnsi="TH Sarabun New" w:cs="TH Sarabun New"/>
            <w:sz w:val="32"/>
            <w:szCs w:val="32"/>
            <w:color w:val="0563C1"/>
            <w:u w:val="single"/>
          </w:rPr>
          <w:t xml:space="preserve">https://www.traffictechnologytoday.com/news/mobility-as-a-service/maas-global-declares-bankruptcy.html</w:t>
        </w:r>
      </w:hyperlink>
    </w:p>
    <w:p>
      <w:pPr>
        <w:jc w:val="thaiDistribute"/>
      </w:pPr>
      <w:r>
        <w:rPr>
          <w:rFonts w:ascii="TH Sarabun New" w:hAnsi="TH Sarabun New" w:cs="TH Sarabun New"/>
          <w:sz w:val="32"/>
          <w:szCs w:val="32"/>
        </w:rPr>
        <w:t xml:space="preserve">Transport for New South Wales. (2024). Opal — contactless ticketing for public transport in Sydney.</w:t>
      </w:r>
      <w:r>
        <w:rPr>
          <w:rFonts w:ascii="TH Sarabun New" w:hAnsi="TH Sarabun New" w:cs="TH Sarabun New"/>
          <w:sz w:val="32"/>
          <w:szCs w:val="32"/>
        </w:rPr>
        <w:t xml:space="preserve">  Retrieved from </w:t>
      </w:r>
      <w:hyperlink r:id="rId51">
        <w:r>
          <w:rPr>
            <w:rFonts w:ascii="TH Sarabun New" w:hAnsi="TH Sarabun New" w:cs="TH Sarabun New"/>
            <w:sz w:val="32"/>
            <w:szCs w:val="32"/>
            <w:color w:val="0563C1"/>
            <w:u w:val="single"/>
          </w:rPr>
          <w:t xml:space="preserve">https://transportnsw.info/tickets-fares/opal</w:t>
        </w:r>
      </w:hyperlink>
    </w:p>
    <w:p>
      <w:pPr>
        <w:jc w:val="thaiDistribute"/>
      </w:pPr>
      <w:r>
        <w:rPr>
          <w:rFonts w:ascii="TH Sarabun New" w:hAnsi="TH Sarabun New" w:cs="TH Sarabun New"/>
          <w:sz w:val="32"/>
          <w:szCs w:val="32"/>
        </w:rPr>
        <w:t xml:space="preserve">ศูนย์วิจัยกสิกรไทย. (2559). วิกฤตจราจรติดขัด: ผลกระทบต่อเศรษฐกิจและวิถีชีวิตคนกรุงเทพฯ.</w:t>
      </w:r>
      <w:r>
        <w:rPr>
          <w:rFonts w:ascii="TH Sarabun New" w:hAnsi="TH Sarabun New" w:cs="TH Sarabun New"/>
          <w:sz w:val="32"/>
          <w:szCs w:val="32"/>
        </w:rPr>
        <w:t xml:space="preserve">  Retrieved from </w:t>
      </w:r>
      <w:hyperlink r:id="rId52">
        <w:r>
          <w:rPr>
            <w:rFonts w:ascii="TH Sarabun New" w:hAnsi="TH Sarabun New" w:cs="TH Sarabun New"/>
            <w:sz w:val="32"/>
            <w:szCs w:val="32"/>
            <w:color w:val="0563C1"/>
            <w:u w:val="single"/>
          </w:rPr>
          <w:t xml:space="preserve">https://www.kasikornresearch.com/th/analysis/k-econ/economy/Pages/35675.aspx</w:t>
        </w:r>
      </w:hyperlink>
    </w:p>
    <w:p>
      <w:pPr>
        <w:jc w:val="thaiDistribute"/>
      </w:pPr>
      <w:r>
        <w:rPr>
          <w:rFonts w:ascii="TH Sarabun New" w:hAnsi="TH Sarabun New" w:cs="TH Sarabun New"/>
          <w:sz w:val="32"/>
          <w:szCs w:val="32"/>
        </w:rPr>
        <w:t xml:space="preserve">สำนักงานสถิติจังหวัดสมุทรปราการ. (2562). ประชากรแฝงในจังหวัดสมุทรปราการ.</w:t>
      </w:r>
      <w:r>
        <w:rPr>
          <w:rFonts w:ascii="TH Sarabun New" w:hAnsi="TH Sarabun New" w:cs="TH Sarabun New"/>
          <w:sz w:val="32"/>
          <w:szCs w:val="32"/>
        </w:rPr>
        <w:t xml:space="preserve">  Retrieved from </w:t>
      </w:r>
      <w:hyperlink r:id="rId53">
        <w:r>
          <w:rPr>
            <w:rFonts w:ascii="TH Sarabun New" w:hAnsi="TH Sarabun New" w:cs="TH Sarabun New"/>
            <w:sz w:val="32"/>
            <w:szCs w:val="32"/>
            <w:color w:val="0563C1"/>
            <w:u w:val="single"/>
          </w:rPr>
          <w:t xml:space="preserve">https://smprakan.nso.go.th/</w:t>
        </w:r>
      </w:hyperlink>
    </w:p>
    <w:p>
      <w:pPr>
        <w:jc w:val="thaiDistribute"/>
      </w:pPr>
      <w:r>
        <w:rPr>
          <w:rFonts w:ascii="TH Sarabun New" w:hAnsi="TH Sarabun New" w:cs="TH Sarabun New"/>
          <w:sz w:val="32"/>
          <w:szCs w:val="32"/>
        </w:rPr>
        <w:t xml:space="preserve">สำนักงานสภาพัฒนาการเศรษฐกิจและสังคมแห่งชาติ. ผลิตภัณฑ์ภาคและจังหวัด (GPP).</w:t>
      </w:r>
      <w:r>
        <w:rPr>
          <w:rFonts w:ascii="TH Sarabun New" w:hAnsi="TH Sarabun New" w:cs="TH Sarabun New"/>
          <w:sz w:val="32"/>
          <w:szCs w:val="32"/>
        </w:rPr>
        <w:t xml:space="preserve">  Retrieved from </w:t>
      </w:r>
      <w:hyperlink r:id="rId54">
        <w:r>
          <w:rPr>
            <w:rFonts w:ascii="TH Sarabun New" w:hAnsi="TH Sarabun New" w:cs="TH Sarabun New"/>
            <w:sz w:val="32"/>
            <w:szCs w:val="32"/>
            <w:color w:val="0563C1"/>
            <w:u w:val="single"/>
          </w:rPr>
          <w:t xml:space="preserve">https://www.nesdc.go.th/info/gross-regional-and-provincial-product/</w:t>
        </w:r>
      </w:hyperlink>
    </w:p>
    <w:p>
      <w:pPr>
        <w:jc w:val="thaiDistribute"/>
      </w:pPr>
      <w:r>
        <w:rPr>
          <w:rFonts w:ascii="TH Sarabun New" w:hAnsi="TH Sarabun New" w:cs="TH Sarabun New"/>
          <w:sz w:val="32"/>
          <w:szCs w:val="32"/>
        </w:rPr>
        <w:t xml:space="preserve">การนิคมอุตสาหกรรมแห่งประเทศไทย. นิคมอุตสาหกรรมบางปู/บางพลี.</w:t>
      </w:r>
      <w:r>
        <w:rPr>
          <w:rFonts w:ascii="TH Sarabun New" w:hAnsi="TH Sarabun New" w:cs="TH Sarabun New"/>
          <w:sz w:val="32"/>
          <w:szCs w:val="32"/>
        </w:rPr>
        <w:t xml:space="preserve">  Retrieved from </w:t>
      </w:r>
      <w:hyperlink r:id="rId55">
        <w:r>
          <w:rPr>
            <w:rFonts w:ascii="TH Sarabun New" w:hAnsi="TH Sarabun New" w:cs="TH Sarabun New"/>
            <w:sz w:val="32"/>
            <w:szCs w:val="32"/>
            <w:color w:val="0563C1"/>
            <w:u w:val="single"/>
          </w:rPr>
          <w:t xml:space="preserve">https://bangpoo.ieat.go.th/th</w:t>
        </w:r>
      </w:hyperlink>
    </w:p>
    <w:p>
      <w:pPr>
        <w:jc w:val="thaiDistribute"/>
      </w:pPr>
      <w:r>
        <w:rPr>
          <w:rFonts w:ascii="TH Sarabun New" w:hAnsi="TH Sarabun New" w:cs="TH Sarabun New"/>
          <w:sz w:val="32"/>
          <w:szCs w:val="32"/>
        </w:rPr>
        <w:t xml:space="preserve">Transport for London. (2024). Half of all pay as you go journeys now made using contactless.</w:t>
      </w:r>
      <w:r>
        <w:rPr>
          <w:rFonts w:ascii="TH Sarabun New" w:hAnsi="TH Sarabun New" w:cs="TH Sarabun New"/>
          <w:sz w:val="32"/>
          <w:szCs w:val="32"/>
        </w:rPr>
        <w:t xml:space="preserve">  Retrieved from </w:t>
      </w:r>
      <w:hyperlink r:id="rId56">
        <w:r>
          <w:rPr>
            <w:rFonts w:ascii="TH Sarabun New" w:hAnsi="TH Sarabun New" w:cs="TH Sarabun New"/>
            <w:sz w:val="32"/>
            <w:szCs w:val="32"/>
            <w:color w:val="0563C1"/>
            <w:u w:val="single"/>
          </w:rPr>
          <w:t xml:space="preserve">https://tfl-newsroom.prgloo.com/news/tfl-press-release-half-of-all-tube-and-rail-pay-as-you-go-journeys-across-london-now-made-using-contactless-payments</w:t>
        </w:r>
      </w:hyperlink>
    </w:p>
    <w:p>
      <w:pPr>
        <w:jc w:val="thaiDistribute"/>
      </w:pPr>
      <w:r>
        <w:rPr>
          <w:rFonts w:ascii="TH Sarabun New" w:hAnsi="TH Sarabun New" w:cs="TH Sarabun New"/>
          <w:sz w:val="32"/>
          <w:szCs w:val="32"/>
        </w:rPr>
        <w:t xml:space="preserve">US DOT ITS. (2021). Contactless payment reduces fare collection cost from 15% to 9% of revenue.</w:t>
      </w:r>
      <w:r>
        <w:rPr>
          <w:rFonts w:ascii="TH Sarabun New" w:hAnsi="TH Sarabun New" w:cs="TH Sarabun New"/>
          <w:sz w:val="32"/>
          <w:szCs w:val="32"/>
        </w:rPr>
        <w:t xml:space="preserve">  Retrieved from </w:t>
      </w:r>
      <w:hyperlink r:id="rId57">
        <w:r>
          <w:rPr>
            <w:rFonts w:ascii="TH Sarabun New" w:hAnsi="TH Sarabun New" w:cs="TH Sarabun New"/>
            <w:sz w:val="32"/>
            <w:szCs w:val="32"/>
            <w:color w:val="0563C1"/>
            <w:u w:val="single"/>
          </w:rPr>
          <w:t xml:space="preserve">https://www.itskrs.its.dot.gov/2021-b01590</w:t>
        </w:r>
      </w:hyperlink>
    </w:p>
    <w:p>
      <w:pPr>
        <w:jc w:val="thaiDistribute"/>
      </w:pPr>
      <w:r>
        <w:rPr>
          <w:rFonts w:ascii="TH Sarabun New" w:hAnsi="TH Sarabun New" w:cs="TH Sarabun New"/>
          <w:sz w:val="32"/>
          <w:szCs w:val="32"/>
        </w:rPr>
        <w:t xml:space="preserve">Office of the New York City Comptroller. Streets for People (Times Square: pedestrian injuries -40%).</w:t>
      </w:r>
      <w:r>
        <w:rPr>
          <w:rFonts w:ascii="TH Sarabun New" w:hAnsi="TH Sarabun New" w:cs="TH Sarabun New"/>
          <w:sz w:val="32"/>
          <w:szCs w:val="32"/>
        </w:rPr>
        <w:t xml:space="preserve">  Retrieved from </w:t>
      </w:r>
      <w:hyperlink r:id="rId58">
        <w:r>
          <w:rPr>
            <w:rFonts w:ascii="TH Sarabun New" w:hAnsi="TH Sarabun New" w:cs="TH Sarabun New"/>
            <w:sz w:val="32"/>
            <w:szCs w:val="32"/>
            <w:color w:val="0563C1"/>
            <w:u w:val="single"/>
          </w:rPr>
          <w:t xml:space="preserve">https://comptroller.nyc.gov/reports/streets-for-people-open-streets-and-the-future-of-public-space-management-in-nyc/</w:t>
        </w:r>
      </w:hyperlink>
    </w:p>
    <w:p>
      <w:pPr>
        <w:jc w:val="thaiDistribute"/>
      </w:pPr>
      <w:r>
        <w:rPr>
          <w:rFonts w:ascii="TH Sarabun New" w:hAnsi="TH Sarabun New" w:cs="TH Sarabun New"/>
          <w:sz w:val="32"/>
          <w:szCs w:val="32"/>
        </w:rPr>
        <w:t xml:space="preserve">ISGlobal. Superblocks model could prevent ~667 premature deaths/year (NO2 -25%).</w:t>
      </w:r>
      <w:r>
        <w:rPr>
          <w:rFonts w:ascii="TH Sarabun New" w:hAnsi="TH Sarabun New" w:cs="TH Sarabun New"/>
          <w:sz w:val="32"/>
          <w:szCs w:val="32"/>
        </w:rPr>
        <w:t xml:space="preserve">  Retrieved from </w:t>
      </w:r>
      <w:hyperlink r:id="rId59">
        <w:r>
          <w:rPr>
            <w:rFonts w:ascii="TH Sarabun New" w:hAnsi="TH Sarabun New" w:cs="TH Sarabun New"/>
            <w:sz w:val="32"/>
            <w:szCs w:val="32"/>
            <w:color w:val="0563C1"/>
            <w:u w:val="single"/>
          </w:rPr>
          <w:t xml:space="preserve">https://www.isglobal.org/en/-/el-proyecto-original-de-las-supermanzanas-podria-evitar-cerca-de-700-muertes-prematuras-anuales-en-barcelona</w:t>
        </w:r>
      </w:hyperlink>
    </w:p>
    <w:p>
      <w:pPr>
        <w:jc w:val="thaiDistribute"/>
      </w:pPr>
      <w:r>
        <w:rPr>
          <w:rFonts w:ascii="TH Sarabun New" w:hAnsi="TH Sarabun New" w:cs="TH Sarabun New"/>
          <w:sz w:val="32"/>
          <w:szCs w:val="32"/>
        </w:rPr>
        <w:t xml:space="preserve">WHO Thailand. (2022). The cost of clean air in Thailand (PM2.5 health burden).</w:t>
      </w:r>
      <w:r>
        <w:rPr>
          <w:rFonts w:ascii="TH Sarabun New" w:hAnsi="TH Sarabun New" w:cs="TH Sarabun New"/>
          <w:sz w:val="32"/>
          <w:szCs w:val="32"/>
        </w:rPr>
        <w:t xml:space="preserve">  Retrieved from </w:t>
      </w:r>
      <w:hyperlink r:id="rId60">
        <w:r>
          <w:rPr>
            <w:rFonts w:ascii="TH Sarabun New" w:hAnsi="TH Sarabun New" w:cs="TH Sarabun New"/>
            <w:sz w:val="32"/>
            <w:szCs w:val="32"/>
            <w:color w:val="0563C1"/>
            <w:u w:val="single"/>
          </w:rPr>
          <w:t xml:space="preserve">https://www.who.int/thailand/news/detail/08-06-2022-the-cost-of-clean-air-in-thailand</w:t>
        </w:r>
      </w:hyperlink>
    </w:p>
    <w:p>
      <w:pPr>
        <w:jc w:val="thaiDistribute"/>
      </w:pPr>
      <w:r>
        <w:rPr>
          <w:rFonts w:ascii="TH Sarabun New" w:hAnsi="TH Sarabun New" w:cs="TH Sarabun New"/>
          <w:sz w:val="32"/>
          <w:szCs w:val="32"/>
        </w:rPr>
        <w:t xml:space="preserve">Service-Public / Urssaf (France). Versement mobilité (employer transport contribution 0.55-1.75%).</w:t>
      </w:r>
      <w:r>
        <w:rPr>
          <w:rFonts w:ascii="TH Sarabun New" w:hAnsi="TH Sarabun New" w:cs="TH Sarabun New"/>
          <w:sz w:val="32"/>
          <w:szCs w:val="32"/>
        </w:rPr>
        <w:t xml:space="preserve">  Retrieved from </w:t>
      </w:r>
      <w:hyperlink r:id="rId61">
        <w:r>
          <w:rPr>
            <w:rFonts w:ascii="TH Sarabun New" w:hAnsi="TH Sarabun New" w:cs="TH Sarabun New"/>
            <w:sz w:val="32"/>
            <w:szCs w:val="32"/>
            <w:color w:val="0563C1"/>
            <w:u w:val="single"/>
          </w:rPr>
          <w:t xml:space="preserve">https://entreprendre.service-public.gouv.fr/vosdroits/F31031?lang=en</w:t>
        </w:r>
      </w:hyperlink>
    </w:p>
    <w:p>
      <w:pPr>
        <w:jc w:val="thaiDistribute"/>
      </w:pPr>
      <w:r>
        <w:rPr>
          <w:rFonts w:ascii="TH Sarabun New" w:hAnsi="TH Sarabun New" w:cs="TH Sarabun New"/>
          <w:sz w:val="32"/>
          <w:szCs w:val="32"/>
        </w:rPr>
        <w:t xml:space="preserve">Cushman &amp; Wakefield. (2025). Carbon tax in Thailand 200 THB/tCO2 (2025).</w:t>
      </w:r>
      <w:r>
        <w:rPr>
          <w:rFonts w:ascii="TH Sarabun New" w:hAnsi="TH Sarabun New" w:cs="TH Sarabun New"/>
          <w:sz w:val="32"/>
          <w:szCs w:val="32"/>
        </w:rPr>
        <w:t xml:space="preserve">  Retrieved from </w:t>
      </w:r>
      <w:hyperlink r:id="rId62">
        <w:r>
          <w:rPr>
            <w:rFonts w:ascii="TH Sarabun New" w:hAnsi="TH Sarabun New" w:cs="TH Sarabun New"/>
            <w:sz w:val="32"/>
            <w:szCs w:val="32"/>
            <w:color w:val="0563C1"/>
            <w:u w:val="single"/>
          </w:rPr>
          <w:t xml:space="preserve">https://www.cushmanwakefield.com/en/thailand/insights/adapting-for-a-sustainable-future</w:t>
        </w:r>
      </w:hyperlink>
    </w:p>
    <w:p>
      <w:pPr>
        <w:spacing w:before="280" w:after="120" w:line="240" w:lineRule="auto"/>
        <w:jc w:val="left"/>
      </w:pPr>
      <w:r>
        <w:rPr>
          <w:rFonts w:ascii="TH Sarabun New" w:hAnsi="TH Sarabun New" w:cs="TH Sarabun New" w:eastAsia="TH Sarabun New"/>
          <w:b/>
          <w:i w:val="0"/>
          <w:color w:val="1F3D6E"/>
          <w:sz w:val="36"/>
          <w:szCs w:val="36"/>
        </w:rPr>
        <w:t>ตารางสรุปแหล่งอ้างอิงจำแนกตามประเด็นที่ใช้อ้างอิง</w:t>
      </w:r>
    </w:p>
    <w:p>
      <w:pPr>
        <w:spacing w:after="120" w:line="240" w:lineRule="auto"/>
        <w:ind w:firstLine="720"/>
        <w:jc w:val="thaiDistribute"/>
      </w:pPr>
      <w:r>
        <w:rPr>
          <w:rFonts w:ascii="TH Sarabun New" w:hAnsi="TH Sarabun New" w:cs="TH Sarabun New" w:eastAsia="TH Sarabun New"/>
          <w:b w:val="0"/>
          <w:i w:val="0"/>
          <w:sz w:val="32"/>
          <w:szCs w:val="32"/>
        </w:rPr>
        <w:t>เพื่อความสะดวกในการตรวจสอบและการแบ่งงานทบทวน ตารางต่อไปนี้สรุปว่าแหล่งอ้างอิงแต่ละรายการถูกนำมาใช้สนับสนุนประเด็น/หัวข้อใดในรายงาน</w:t>
      </w:r>
      <w:r>
        <w:rPr>
          <w:rFonts w:ascii="TH Sarabun New" w:hAnsi="TH Sarabun New" w:cs="TH Sarabun New"/>
          <w:sz w:val="32"/>
          <w:szCs w:val="32"/>
        </w:rPr>
        <w:t xml:space="preserve"> ทั้งนี้ได้แนบ URL ของแหล่งข้อมูลทางการ/สำนักพิมพ์/DOI ไว้ใต้ชื่อแต่ละแหล่งเพื่อให้คณะผู้จัดทำตรวจสอบย้อนกลับได้</w:t>
      </w:r>
    </w:p>
    <w:tbl>
      <w:tblPr>
        <w:tblW w:type="auto" w:w="0"/>
        <w:jc w:val="center"/>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4649"/>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แหล่งอ้างอิง</w:t>
            </w:r>
            <w:r>
              <w:rPr>
                <w:rFonts w:ascii="TH Sarabun New" w:hAnsi="TH Sarabun New" w:cs="TH Sarabun New"/>
                <w:sz w:val="28"/>
                <w:szCs w:val="28"/>
              </w:rPr>
              <w:t xml:space="preserve">  (พร้อม URL ตรวจสอบ)</w:t>
            </w:r>
          </w:p>
        </w:tc>
        <w:tc>
          <w:tcPr>
            <w:tcW w:type="dxa" w:w="3685"/>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ประเด็น/หัวข้อที่ใช้อ้างอิง</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ยุทธศาสตร์ชาติ 20 ปี (สศช., 2561)</w:t>
            </w:r>
          </w:p>
          <w:p>
            <w:pPr>
              <w:spacing w:before="20" w:after="0"/>
              <w:jc w:val="left"/>
            </w:pPr>
            <w:r>
              <w:rPr>
                <w:rFonts w:ascii="TH Sarabun New" w:hAnsi="TH Sarabun New" w:cs="TH Sarabun New"/>
                <w:sz w:val="26"/>
                <w:szCs w:val="26"/>
              </w:rPr>
              <w:t xml:space="preserve">ตรวจสอบ: </w:t>
            </w:r>
            <w:hyperlink r:id="rId30">
              <w:r>
                <w:rPr>
                  <w:rFonts w:ascii="TH Sarabun New" w:hAnsi="TH Sarabun New" w:cs="TH Sarabun New"/>
                  <w:sz w:val="26"/>
                  <w:szCs w:val="26"/>
                  <w:color w:val="0563C1"/>
                  <w:u w:val="single"/>
                </w:rPr>
                <w:t xml:space="preserve">https://www.nesdc.go.th/nscr/main/</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3.2 ความสอดคล้องเชิงยุทธศาสตร์ (ตารางที่ 5)</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แผนพัฒนาฯ ฉบับที่ 13 (สศช., 2565)</w:t>
            </w:r>
          </w:p>
          <w:p>
            <w:pPr>
              <w:spacing w:before="20" w:after="0"/>
              <w:jc w:val="left"/>
            </w:pPr>
            <w:r>
              <w:rPr>
                <w:rFonts w:ascii="TH Sarabun New" w:hAnsi="TH Sarabun New" w:cs="TH Sarabun New"/>
                <w:sz w:val="26"/>
                <w:szCs w:val="26"/>
              </w:rPr>
              <w:t xml:space="preserve">ตรวจสอบ: </w:t>
            </w:r>
            <w:hyperlink r:id="rId29">
              <w:r>
                <w:rPr>
                  <w:rFonts w:ascii="TH Sarabun New" w:hAnsi="TH Sarabun New" w:cs="TH Sarabun New"/>
                  <w:sz w:val="26"/>
                  <w:szCs w:val="26"/>
                  <w:color w:val="0563C1"/>
                  <w:u w:val="single"/>
                </w:rPr>
                <w:t xml:space="preserve">https://www.nesdc.go.th/download/the-13th-national-economic-and-social-development-plan-peoples-edition/</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3.2 ความสอดคล้องเชิงยุทธศาสตร์</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ยุทธศาสตร์ปล่อยก๊าซเรือนกระจกต่ำ (สผ., 2565)</w:t>
            </w:r>
          </w:p>
          <w:p>
            <w:pPr>
              <w:spacing w:before="20" w:after="0"/>
              <w:jc w:val="left"/>
            </w:pPr>
            <w:r>
              <w:rPr>
                <w:rFonts w:ascii="TH Sarabun New" w:hAnsi="TH Sarabun New" w:cs="TH Sarabun New"/>
                <w:sz w:val="26"/>
                <w:szCs w:val="26"/>
              </w:rPr>
              <w:t xml:space="preserve">ตรวจสอบ: </w:t>
            </w:r>
            <w:hyperlink r:id="rId28">
              <w:r>
                <w:rPr>
                  <w:rFonts w:ascii="TH Sarabun New" w:hAnsi="TH Sarabun New" w:cs="TH Sarabun New"/>
                  <w:sz w:val="26"/>
                  <w:szCs w:val="26"/>
                  <w:color w:val="0563C1"/>
                  <w:u w:val="single"/>
                </w:rPr>
                <w:t xml:space="preserve">https://climate.onep.go.th/th/tag/lt-leds/</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2.1, 2.3 แนวโน้ม/Net-Zero/Climate</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นโยบายคมนาคมเพื่อโอกาส + Quick Win (กระทรวงคมนาคม, 2567)</w:t>
            </w:r>
          </w:p>
          <w:p>
            <w:pPr>
              <w:spacing w:before="20" w:after="0"/>
              <w:jc w:val="left"/>
            </w:pPr>
            <w:r>
              <w:rPr>
                <w:rFonts w:ascii="TH Sarabun New" w:hAnsi="TH Sarabun New" w:cs="TH Sarabun New"/>
                <w:sz w:val="26"/>
                <w:szCs w:val="26"/>
              </w:rPr>
              <w:t xml:space="preserve">ตรวจสอบ: </w:t>
            </w:r>
            <w:hyperlink r:id="rId23">
              <w:r>
                <w:rPr>
                  <w:rFonts w:ascii="TH Sarabun New" w:hAnsi="TH Sarabun New" w:cs="TH Sarabun New"/>
                  <w:sz w:val="26"/>
                  <w:szCs w:val="26"/>
                  <w:color w:val="0563C1"/>
                  <w:u w:val="single"/>
                </w:rPr>
                <w:t xml:space="preserve">https://www.mot.go.th/</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3.2 ความสอดคล้องนโยบายกระทรวง</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มาตรการส่งเสริม EV 30@30 (BOI, 2565)</w:t>
            </w:r>
          </w:p>
          <w:p>
            <w:pPr>
              <w:spacing w:before="20" w:after="0"/>
              <w:jc w:val="left"/>
            </w:pPr>
            <w:r>
              <w:rPr>
                <w:rFonts w:ascii="TH Sarabun New" w:hAnsi="TH Sarabun New" w:cs="TH Sarabun New"/>
                <w:sz w:val="26"/>
                <w:szCs w:val="26"/>
              </w:rPr>
              <w:t xml:space="preserve">ตรวจสอบ: </w:t>
            </w:r>
            <w:hyperlink r:id="rId31">
              <w:r>
                <w:rPr>
                  <w:rFonts w:ascii="TH Sarabun New" w:hAnsi="TH Sarabun New" w:cs="TH Sarabun New"/>
                  <w:sz w:val="26"/>
                  <w:szCs w:val="26"/>
                  <w:color w:val="0563C1"/>
                  <w:u w:val="single"/>
                </w:rPr>
                <w:t xml:space="preserve">https://www.boi.go.th/</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2.4, 2.5 ปัจจัยขับเคลื่อน/Potential Demand</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มาตรฐานยืนยันตัวตนดิจิทัล ThaID (ETDA, 2566)</w:t>
            </w:r>
          </w:p>
          <w:p>
            <w:pPr>
              <w:spacing w:before="20" w:after="0"/>
              <w:jc w:val="left"/>
            </w:pPr>
            <w:r>
              <w:rPr>
                <w:rFonts w:ascii="TH Sarabun New" w:hAnsi="TH Sarabun New" w:cs="TH Sarabun New"/>
                <w:sz w:val="26"/>
                <w:szCs w:val="26"/>
              </w:rPr>
              <w:t xml:space="preserve">ตรวจสอบ: </w:t>
            </w:r>
            <w:hyperlink r:id="rId32">
              <w:r>
                <w:rPr>
                  <w:rFonts w:ascii="TH Sarabun New" w:hAnsi="TH Sarabun New" w:cs="TH Sarabun New"/>
                  <w:sz w:val="26"/>
                  <w:szCs w:val="26"/>
                  <w:color w:val="0563C1"/>
                  <w:u w:val="single"/>
                </w:rPr>
                <w:t xml:space="preserve">https://www.etda.or.th/th/regulator/DigitalID/index.aspx</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3.10 สถาปัตยกรรมข้อมูลและไซเบอร์</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พ.ร.บ. การบริหารจัดการระบบตั๋วร่วม พ.ศ. 2568</w:t>
            </w:r>
          </w:p>
          <w:p>
            <w:pPr>
              <w:spacing w:before="20" w:after="0"/>
              <w:jc w:val="left"/>
            </w:pPr>
            <w:r>
              <w:rPr>
                <w:rFonts w:ascii="TH Sarabun New" w:hAnsi="TH Sarabun New" w:cs="TH Sarabun New"/>
                <w:sz w:val="26"/>
                <w:szCs w:val="26"/>
              </w:rPr>
              <w:t xml:space="preserve">ตรวจสอบ: </w:t>
            </w:r>
            <w:hyperlink r:id="rId24">
              <w:r>
                <w:rPr>
                  <w:rFonts w:ascii="TH Sarabun New" w:hAnsi="TH Sarabun New" w:cs="TH Sarabun New"/>
                  <w:sz w:val="26"/>
                  <w:szCs w:val="26"/>
                  <w:color w:val="0563C1"/>
                  <w:u w:val="single"/>
                </w:rPr>
                <w:t xml:space="preserve">https://prt.parliament.go.th/items/4863ca91-79b1-49ec-b583-3c9223913e8c/full</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1.6, 3.2, 3.4 และอ้างอิงเป็นกรอบกฎหมายทั้งรายงาน</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พ.ร.บ. คุ้มครองข้อมูลส่วนบุคคล พ.ศ. 2562 (PDPA)</w:t>
            </w:r>
          </w:p>
          <w:p>
            <w:pPr>
              <w:spacing w:before="20" w:after="0"/>
              <w:jc w:val="left"/>
            </w:pPr>
            <w:r>
              <w:rPr>
                <w:rFonts w:ascii="TH Sarabun New" w:hAnsi="TH Sarabun New" w:cs="TH Sarabun New"/>
                <w:sz w:val="26"/>
                <w:szCs w:val="26"/>
              </w:rPr>
              <w:t xml:space="preserve">ตรวจสอบ: </w:t>
            </w:r>
            <w:hyperlink r:id="rId25">
              <w:r>
                <w:rPr>
                  <w:rFonts w:ascii="TH Sarabun New" w:hAnsi="TH Sarabun New" w:cs="TH Sarabun New"/>
                  <w:sz w:val="26"/>
                  <w:szCs w:val="26"/>
                  <w:color w:val="0563C1"/>
                  <w:u w:val="single"/>
                </w:rPr>
                <w:t xml:space="preserve">https://law.prd.go.th/th/content/article/detail/id/2475/iid/234607</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3.10, 4.5 ธรรมาภิบาลข้อมูล/ความเสี่ยง</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พ.ร.บ. การรักษาความมั่นคงปลอดภัยไซเบอร์ พ.ศ. 2562</w:t>
            </w:r>
          </w:p>
          <w:p>
            <w:pPr>
              <w:spacing w:before="20" w:after="0"/>
              <w:jc w:val="left"/>
            </w:pPr>
            <w:r>
              <w:rPr>
                <w:rFonts w:ascii="TH Sarabun New" w:hAnsi="TH Sarabun New" w:cs="TH Sarabun New"/>
                <w:sz w:val="26"/>
                <w:szCs w:val="26"/>
              </w:rPr>
              <w:t xml:space="preserve">ตรวจสอบ: </w:t>
            </w:r>
            <w:hyperlink r:id="rId26">
              <w:r>
                <w:rPr>
                  <w:rFonts w:ascii="TH Sarabun New" w:hAnsi="TH Sarabun New" w:cs="TH Sarabun New"/>
                  <w:sz w:val="26"/>
                  <w:szCs w:val="26"/>
                  <w:color w:val="0563C1"/>
                  <w:u w:val="single"/>
                </w:rPr>
                <w:t xml:space="preserve">https://www.dga.or.th/document/106069/</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3.10, 4.5 ความมั่นคงปลอดภัยข้อมูล</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แผนแม่บทระบบราง M-MAP (สนข., 2566)</w:t>
            </w:r>
          </w:p>
          <w:p>
            <w:pPr>
              <w:spacing w:before="20" w:after="0"/>
              <w:jc w:val="left"/>
            </w:pPr>
            <w:r>
              <w:rPr>
                <w:rFonts w:ascii="TH Sarabun New" w:hAnsi="TH Sarabun New" w:cs="TH Sarabun New"/>
                <w:sz w:val="26"/>
                <w:szCs w:val="26"/>
              </w:rPr>
              <w:t xml:space="preserve">ตรวจสอบ: </w:t>
            </w:r>
            <w:hyperlink r:id="rId27">
              <w:r>
                <w:rPr>
                  <w:rFonts w:ascii="TH Sarabun New" w:hAnsi="TH Sarabun New" w:cs="TH Sarabun New"/>
                  <w:sz w:val="26"/>
                  <w:szCs w:val="26"/>
                  <w:color w:val="0563C1"/>
                  <w:u w:val="single"/>
                </w:rPr>
                <w:t xml:space="preserve">https://www.otp.go.th/</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1.2, 2.5 โครงข่ายราง/ความต้องการ</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สถิติการเดินทางระบบราง (กรมการขนส่งทางราง, 2566)</w:t>
            </w:r>
          </w:p>
          <w:p>
            <w:pPr>
              <w:spacing w:before="20" w:after="0"/>
              <w:jc w:val="left"/>
            </w:pPr>
            <w:r>
              <w:rPr>
                <w:rFonts w:ascii="TH Sarabun New" w:hAnsi="TH Sarabun New" w:cs="TH Sarabun New"/>
                <w:sz w:val="26"/>
                <w:szCs w:val="26"/>
              </w:rPr>
              <w:t xml:space="preserve">ตรวจสอบ: </w:t>
            </w:r>
            <w:hyperlink r:id="rId21">
              <w:r>
                <w:rPr>
                  <w:rFonts w:ascii="TH Sarabun New" w:hAnsi="TH Sarabun New" w:cs="TH Sarabun New"/>
                  <w:sz w:val="26"/>
                  <w:szCs w:val="26"/>
                  <w:color w:val="0563C1"/>
                  <w:u w:val="single"/>
                </w:rPr>
                <w:t xml:space="preserve">https://www.drt.go.th/</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1.2, 2.5 สัดส่วนการเดินทาง/Demand</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รายงานสถานการณ์มลพิษ PM2.5 (กรมควบคุมมลพิษ, 2566)</w:t>
            </w:r>
          </w:p>
          <w:p>
            <w:pPr>
              <w:spacing w:before="20" w:after="0"/>
              <w:jc w:val="left"/>
            </w:pPr>
            <w:r>
              <w:rPr>
                <w:rFonts w:ascii="TH Sarabun New" w:hAnsi="TH Sarabun New" w:cs="TH Sarabun New"/>
                <w:sz w:val="26"/>
                <w:szCs w:val="26"/>
              </w:rPr>
              <w:t xml:space="preserve">ตรวจสอบ: </w:t>
            </w:r>
            <w:hyperlink r:id="rId22">
              <w:r>
                <w:rPr>
                  <w:rFonts w:ascii="TH Sarabun New" w:hAnsi="TH Sarabun New" w:cs="TH Sarabun New"/>
                  <w:sz w:val="26"/>
                  <w:szCs w:val="26"/>
                  <w:color w:val="0563C1"/>
                  <w:u w:val="single"/>
                </w:rPr>
                <w:t xml:space="preserve">https://www.pcd.go.th/</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1.2 ปัญหามลพิษทางอากาศ</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ต้นทุนเศรษฐกิจของการจราจร (TDRI, 2565)</w:t>
            </w:r>
          </w:p>
          <w:p>
            <w:pPr>
              <w:spacing w:before="20" w:after="0"/>
              <w:jc w:val="left"/>
            </w:pPr>
            <w:r>
              <w:rPr>
                <w:rFonts w:ascii="TH Sarabun New" w:hAnsi="TH Sarabun New" w:cs="TH Sarabun New"/>
                <w:sz w:val="26"/>
                <w:szCs w:val="26"/>
              </w:rPr>
              <w:t xml:space="preserve">ตรวจสอบ: </w:t>
            </w:r>
            <w:hyperlink r:id="rId33">
              <w:r>
                <w:rPr>
                  <w:rFonts w:ascii="TH Sarabun New" w:hAnsi="TH Sarabun New" w:cs="TH Sarabun New"/>
                  <w:sz w:val="26"/>
                  <w:szCs w:val="26"/>
                  <w:color w:val="0563C1"/>
                  <w:u w:val="single"/>
                </w:rPr>
                <w:t xml:space="preserve">https://tdri.or.th/</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1.2 ความสูญเสียทางเศรษฐกิจ</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ข้อมูลพื้นที่จังหวัดสมุทรปราการ (อบจ.สมุทรปราการ, 2566)</w:t>
            </w:r>
          </w:p>
          <w:p>
            <w:pPr>
              <w:spacing w:before="20" w:after="0"/>
              <w:jc w:val="left"/>
            </w:pPr>
            <w:r>
              <w:rPr>
                <w:rFonts w:ascii="TH Sarabun New" w:hAnsi="TH Sarabun New" w:cs="TH Sarabun New"/>
                <w:sz w:val="26"/>
                <w:szCs w:val="26"/>
              </w:rPr>
              <w:t xml:space="preserve">ตรวจสอบ: </w:t>
            </w:r>
            <w:hyperlink r:id="rId34">
              <w:r>
                <w:rPr>
                  <w:rFonts w:ascii="TH Sarabun New" w:hAnsi="TH Sarabun New" w:cs="TH Sarabun New"/>
                  <w:sz w:val="26"/>
                  <w:szCs w:val="26"/>
                  <w:color w:val="0563C1"/>
                  <w:u w:val="single"/>
                </w:rPr>
                <w:t xml:space="preserve">http://samutprakan-pao.go.th/</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2.3, 4.3 ความเสี่ยงภูมิอากาศ/พื้นที่นำร่อง</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Sochor et al. (2018) — MaaS Levels</w:t>
            </w:r>
          </w:p>
          <w:p>
            <w:pPr>
              <w:spacing w:before="20" w:after="0"/>
              <w:jc w:val="left"/>
            </w:pPr>
            <w:r>
              <w:rPr>
                <w:rFonts w:ascii="TH Sarabun New" w:hAnsi="TH Sarabun New" w:cs="TH Sarabun New"/>
                <w:sz w:val="26"/>
                <w:szCs w:val="26"/>
              </w:rPr>
              <w:t xml:space="preserve">ตรวจสอบ: </w:t>
            </w:r>
            <w:hyperlink r:id="rId41">
              <w:r>
                <w:rPr>
                  <w:rFonts w:ascii="TH Sarabun New" w:hAnsi="TH Sarabun New" w:cs="TH Sarabun New"/>
                  <w:sz w:val="26"/>
                  <w:szCs w:val="26"/>
                  <w:color w:val="0563C1"/>
                  <w:u w:val="single"/>
                </w:rPr>
                <w:t xml:space="preserve">https://www.sciencedirect.com/science/article/abs/pii/S2210539518300476</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1.3, 3.3 กรอบแนวคิด 4 เสาหลัก</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Hietanen (2014) — แนวคิด MaaS</w:t>
            </w:r>
          </w:p>
          <w:p>
            <w:pPr>
              <w:spacing w:before="20" w:after="0"/>
              <w:jc w:val="left"/>
            </w:pPr>
            <w:r>
              <w:rPr>
                <w:rFonts w:ascii="TH Sarabun New" w:hAnsi="TH Sarabun New" w:cs="TH Sarabun New"/>
                <w:sz w:val="26"/>
                <w:szCs w:val="26"/>
              </w:rPr>
              <w:t xml:space="preserve">ตรวจสอบ: </w:t>
            </w:r>
            <w:hyperlink r:id="rId35">
              <w:r>
                <w:rPr>
                  <w:rFonts w:ascii="TH Sarabun New" w:hAnsi="TH Sarabun New" w:cs="TH Sarabun New"/>
                  <w:sz w:val="26"/>
                  <w:szCs w:val="26"/>
                  <w:color w:val="0563C1"/>
                  <w:u w:val="single"/>
                </w:rPr>
                <w:t xml:space="preserve">https://www.intelligenttransport.com/digital/et-its-supplement-2014/offline/download.pdf</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1.3 การทบทวนวรรณกรรม</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Mukhtar-Landgren &amp; Smith (2019) — บทบาทภาครัฐใน MaaS</w:t>
            </w:r>
          </w:p>
          <w:p>
            <w:pPr>
              <w:spacing w:before="20" w:after="0"/>
              <w:jc w:val="left"/>
            </w:pPr>
            <w:r>
              <w:rPr>
                <w:rFonts w:ascii="TH Sarabun New" w:hAnsi="TH Sarabun New" w:cs="TH Sarabun New"/>
                <w:sz w:val="26"/>
                <w:szCs w:val="26"/>
              </w:rPr>
              <w:t xml:space="preserve">ตรวจสอบ: </w:t>
            </w:r>
            <w:hyperlink r:id="rId36">
              <w:r>
                <w:rPr>
                  <w:rFonts w:ascii="TH Sarabun New" w:hAnsi="TH Sarabun New" w:cs="TH Sarabun New"/>
                  <w:sz w:val="26"/>
                  <w:szCs w:val="26"/>
                  <w:color w:val="0563C1"/>
                  <w:u w:val="single"/>
                </w:rPr>
                <w:t xml:space="preserve">https://doi.org/10.1186/s12544-019-0363-7</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1.3, 3.9 ธรรมาภิบาล (Public-led)</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Pangbourne et al. (2020) — ข้อจำกัดของ MaaS</w:t>
            </w:r>
          </w:p>
          <w:p>
            <w:pPr>
              <w:spacing w:before="20" w:after="0"/>
              <w:jc w:val="left"/>
            </w:pPr>
            <w:r>
              <w:rPr>
                <w:rFonts w:ascii="TH Sarabun New" w:hAnsi="TH Sarabun New" w:cs="TH Sarabun New"/>
                <w:sz w:val="26"/>
                <w:szCs w:val="26"/>
              </w:rPr>
              <w:t xml:space="preserve">ตรวจสอบ: </w:t>
            </w:r>
            <w:hyperlink r:id="rId37">
              <w:r>
                <w:rPr>
                  <w:rFonts w:ascii="TH Sarabun New" w:hAnsi="TH Sarabun New" w:cs="TH Sarabun New"/>
                  <w:sz w:val="26"/>
                  <w:szCs w:val="26"/>
                  <w:color w:val="0563C1"/>
                  <w:u w:val="single"/>
                </w:rPr>
                <w:t xml:space="preserve">https://doi.org/10.1016/j.tra.2019.09.033</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1.3 มุมมองวิพากษ์ MaaS</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Transport for London (2023) — Contactless/EMV</w:t>
            </w:r>
          </w:p>
          <w:p>
            <w:pPr>
              <w:spacing w:before="20" w:after="0"/>
              <w:jc w:val="left"/>
            </w:pPr>
            <w:r>
              <w:rPr>
                <w:rFonts w:ascii="TH Sarabun New" w:hAnsi="TH Sarabun New" w:cs="TH Sarabun New"/>
                <w:sz w:val="26"/>
                <w:szCs w:val="26"/>
              </w:rPr>
              <w:t xml:space="preserve">ตรวจสอบ: </w:t>
            </w:r>
            <w:hyperlink r:id="rId43">
              <w:r>
                <w:rPr>
                  <w:rFonts w:ascii="TH Sarabun New" w:hAnsi="TH Sarabun New" w:cs="TH Sarabun New"/>
                  <w:sz w:val="26"/>
                  <w:szCs w:val="26"/>
                  <w:color w:val="0563C1"/>
                  <w:u w:val="single"/>
                </w:rPr>
                <w:t xml:space="preserve">https://tfl.gov.uk/fares/ways-to-pay/pay-as-you-go</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1.3, 1.4, 3.4 กรณีศึกษา/ตั๋วร่วม (EMV ≥80%)</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Land Transport Authority of Singapore (2022) — ERP</w:t>
            </w:r>
          </w:p>
          <w:p>
            <w:pPr>
              <w:spacing w:before="20" w:after="0"/>
              <w:jc w:val="left"/>
            </w:pPr>
            <w:r>
              <w:rPr>
                <w:rFonts w:ascii="TH Sarabun New" w:hAnsi="TH Sarabun New" w:cs="TH Sarabun New"/>
                <w:sz w:val="26"/>
                <w:szCs w:val="26"/>
              </w:rPr>
              <w:t xml:space="preserve">ตรวจสอบ: </w:t>
            </w:r>
            <w:hyperlink r:id="rId38">
              <w:r>
                <w:rPr>
                  <w:rFonts w:ascii="TH Sarabun New" w:hAnsi="TH Sarabun New" w:cs="TH Sarabun New"/>
                  <w:sz w:val="26"/>
                  <w:szCs w:val="26"/>
                  <w:color w:val="0563C1"/>
                  <w:u w:val="single"/>
                </w:rPr>
                <w:t xml:space="preserve">https://www.lta.gov.sg/content/ltagov/en/who_we_are/our_work/road.html</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1.3, 3.7 กรณีศึกษา/มาตรการ ERP</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Berliner Verkehrsbetriebe — Jelbi (2023)</w:t>
            </w:r>
          </w:p>
          <w:p>
            <w:pPr>
              <w:spacing w:before="20" w:after="0"/>
              <w:jc w:val="left"/>
            </w:pPr>
            <w:r>
              <w:rPr>
                <w:rFonts w:ascii="TH Sarabun New" w:hAnsi="TH Sarabun New" w:cs="TH Sarabun New"/>
                <w:sz w:val="26"/>
                <w:szCs w:val="26"/>
              </w:rPr>
              <w:t xml:space="preserve">ตรวจสอบ: </w:t>
            </w:r>
            <w:hyperlink r:id="rId45">
              <w:r>
                <w:rPr>
                  <w:rFonts w:ascii="TH Sarabun New" w:hAnsi="TH Sarabun New" w:cs="TH Sarabun New"/>
                  <w:sz w:val="26"/>
                  <w:szCs w:val="26"/>
                  <w:color w:val="0563C1"/>
                  <w:u w:val="single"/>
                </w:rPr>
                <w:t xml:space="preserve">https://www.jelbi.de/en/home/</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1.3, 3.5 กรณีศึกษา/MaaS Public-led</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Wiener Linien — WienMobil (2023)</w:t>
            </w:r>
          </w:p>
          <w:p>
            <w:pPr>
              <w:spacing w:before="20" w:after="0"/>
              <w:jc w:val="left"/>
            </w:pPr>
            <w:r>
              <w:rPr>
                <w:rFonts w:ascii="TH Sarabun New" w:hAnsi="TH Sarabun New" w:cs="TH Sarabun New"/>
                <w:sz w:val="26"/>
                <w:szCs w:val="26"/>
              </w:rPr>
              <w:t xml:space="preserve">ตรวจสอบ: </w:t>
            </w:r>
            <w:hyperlink r:id="rId46">
              <w:r>
                <w:rPr>
                  <w:rFonts w:ascii="TH Sarabun New" w:hAnsi="TH Sarabun New" w:cs="TH Sarabun New"/>
                  <w:sz w:val="26"/>
                  <w:szCs w:val="26"/>
                  <w:color w:val="0563C1"/>
                  <w:u w:val="single"/>
                </w:rPr>
                <w:t xml:space="preserve">https://www.wienerlinien.at/web/wl-en/annual-pass</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1.3, 3.7 กรณีศึกษา/มาตรการภาษี (365-Euro)</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Seoul Metropolitan Government (2021) — T-money</w:t>
            </w:r>
          </w:p>
          <w:p>
            <w:pPr>
              <w:spacing w:before="20" w:after="0"/>
              <w:jc w:val="left"/>
            </w:pPr>
            <w:r>
              <w:rPr>
                <w:rFonts w:ascii="TH Sarabun New" w:hAnsi="TH Sarabun New" w:cs="TH Sarabun New"/>
                <w:sz w:val="26"/>
                <w:szCs w:val="26"/>
              </w:rPr>
              <w:t xml:space="preserve">ตรวจสอบ: </w:t>
            </w:r>
            <w:hyperlink r:id="rId39">
              <w:r>
                <w:rPr>
                  <w:rFonts w:ascii="TH Sarabun New" w:hAnsi="TH Sarabun New" w:cs="TH Sarabun New"/>
                  <w:sz w:val="26"/>
                  <w:szCs w:val="26"/>
                  <w:color w:val="0563C1"/>
                  <w:u w:val="single"/>
                </w:rPr>
                <w:t xml:space="preserve">https://www.seoulsolution.kr/en/content/one-card-fits-all-integrated-public-transport-fare-system</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1.3, 3.4 กรณีศึกษา/ระบบตั๋วร่วม</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TomTom Traffic Index (2023)</w:t>
            </w:r>
          </w:p>
          <w:p>
            <w:pPr>
              <w:spacing w:before="20" w:after="0"/>
              <w:jc w:val="left"/>
            </w:pPr>
            <w:r>
              <w:rPr>
                <w:rFonts w:ascii="TH Sarabun New" w:hAnsi="TH Sarabun New" w:cs="TH Sarabun New"/>
                <w:sz w:val="26"/>
                <w:szCs w:val="26"/>
              </w:rPr>
              <w:t xml:space="preserve">ตรวจสอบ: </w:t>
            </w:r>
            <w:hyperlink r:id="rId42">
              <w:r>
                <w:rPr>
                  <w:rFonts w:ascii="TH Sarabun New" w:hAnsi="TH Sarabun New" w:cs="TH Sarabun New"/>
                  <w:sz w:val="26"/>
                  <w:szCs w:val="26"/>
                  <w:color w:val="0563C1"/>
                  <w:u w:val="single"/>
                </w:rPr>
                <w:t xml:space="preserve">https://www.tomtom.com/traffic-index/ranking</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1.2 ปัญหาการจราจรติดขัด</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World Bank (2023) — Urban Transport &amp; Congestion</w:t>
            </w:r>
          </w:p>
          <w:p>
            <w:pPr>
              <w:spacing w:before="20" w:after="0"/>
              <w:jc w:val="left"/>
            </w:pPr>
            <w:r>
              <w:rPr>
                <w:rFonts w:ascii="TH Sarabun New" w:hAnsi="TH Sarabun New" w:cs="TH Sarabun New"/>
                <w:sz w:val="26"/>
                <w:szCs w:val="26"/>
              </w:rPr>
              <w:t xml:space="preserve">ตรวจสอบ: </w:t>
            </w:r>
            <w:hyperlink r:id="rId44">
              <w:r>
                <w:rPr>
                  <w:rFonts w:ascii="TH Sarabun New" w:hAnsi="TH Sarabun New" w:cs="TH Sarabun New"/>
                  <w:sz w:val="26"/>
                  <w:szCs w:val="26"/>
                  <w:color w:val="0563C1"/>
                  <w:u w:val="single"/>
                </w:rPr>
                <w:t xml:space="preserve">https://www.worldbank.org/en/country/thailand/publication/thailand-economic-monitor-reports</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1.2 ความสูญเสียทางเศรษฐกิจ (~250,000 ลบ./ปี)</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International Energy Agency (2023) — Global EV Outlook</w:t>
            </w:r>
          </w:p>
          <w:p>
            <w:pPr>
              <w:spacing w:before="20" w:after="0"/>
              <w:jc w:val="left"/>
            </w:pPr>
            <w:r>
              <w:rPr>
                <w:rFonts w:ascii="TH Sarabun New" w:hAnsi="TH Sarabun New" w:cs="TH Sarabun New"/>
                <w:sz w:val="26"/>
                <w:szCs w:val="26"/>
              </w:rPr>
              <w:t xml:space="preserve">ตรวจสอบ: </w:t>
            </w:r>
            <w:hyperlink r:id="rId40">
              <w:r>
                <w:rPr>
                  <w:rFonts w:ascii="TH Sarabun New" w:hAnsi="TH Sarabun New" w:cs="TH Sarabun New"/>
                  <w:sz w:val="26"/>
                  <w:szCs w:val="26"/>
                  <w:color w:val="0563C1"/>
                  <w:u w:val="single"/>
                </w:rPr>
                <w:t xml:space="preserve">https://www.iea.org/reports/global-ev-outlook-2023</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2.4, 2.5 การเปลี่ยนผ่าน EV/Demand</w:t>
            </w:r>
          </w:p>
        </w:tc>
      </w:tr>
      <w:tr>
        <w:tc>
          <w:tcPr>
            <w:tcW w:type="dxa" w:w="4649"/>
            <w:vAlign w:val="top"/>
          </w:tcPr>
          <w:p>
            <w:pPr>
              <w:spacing w:after="0" w:line="240" w:lineRule="auto"/>
              <w:jc w:val="left"/>
            </w:pPr>
            <w:r/>
            <w:r>
              <w:rPr>
                <w:rFonts w:ascii="TH Sarabun New" w:hAnsi="TH Sarabun New" w:cs="TH Sarabun New" w:eastAsia="TH Sarabun New"/>
                <w:b w:val="0"/>
                <w:i w:val="0"/>
                <w:sz w:val="28"/>
                <w:szCs w:val="28"/>
              </w:rPr>
              <w:t>United Nations (2015) — SDGs</w:t>
            </w:r>
          </w:p>
          <w:p>
            <w:pPr>
              <w:spacing w:before="20" w:after="0"/>
              <w:jc w:val="left"/>
            </w:pPr>
            <w:r>
              <w:rPr>
                <w:rFonts w:ascii="TH Sarabun New" w:hAnsi="TH Sarabun New" w:cs="TH Sarabun New"/>
                <w:sz w:val="26"/>
                <w:szCs w:val="26"/>
              </w:rPr>
              <w:t xml:space="preserve">ตรวจสอบ: </w:t>
            </w:r>
            <w:hyperlink r:id="rId47">
              <w:r>
                <w:rPr>
                  <w:rFonts w:ascii="TH Sarabun New" w:hAnsi="TH Sarabun New" w:cs="TH Sarabun New"/>
                  <w:sz w:val="26"/>
                  <w:szCs w:val="26"/>
                  <w:color w:val="0563C1"/>
                  <w:u w:val="single"/>
                </w:rPr>
                <w:t xml:space="preserve">https://sdgs.un.org/2030agenda</w:t>
              </w:r>
            </w:hyperlink>
          </w:p>
        </w:tc>
        <w:tc>
          <w:tcPr>
            <w:tcW w:type="dxa" w:w="3685"/>
            <w:vAlign w:val="top"/>
          </w:tcPr>
          <w:p>
            <w:pPr>
              <w:spacing w:after="0" w:line="240" w:lineRule="auto"/>
              <w:jc w:val="left"/>
            </w:pPr>
            <w:r/>
            <w:r>
              <w:rPr>
                <w:rFonts w:ascii="TH Sarabun New" w:hAnsi="TH Sarabun New" w:cs="TH Sarabun New" w:eastAsia="TH Sarabun New"/>
                <w:b w:val="0"/>
                <w:i w:val="0"/>
                <w:sz w:val="28"/>
                <w:szCs w:val="28"/>
              </w:rPr>
              <w:t>3.2 ความสอดคล้อง SDG 11 และ SDG 13</w:t>
            </w:r>
          </w:p>
        </w:tc>
      </w:tr>
      <w:tr>
        <w:tc>
          <w:tcPr>
            <w:tcW w:type="dxa" w:w="4153"/>
          </w:tcPr>
          <w:p>
            <w:r>
              <w:rPr>
                <w:rFonts w:ascii="TH Sarabun New" w:hAnsi="TH Sarabun New" w:cs="TH Sarabun New"/>
                <w:sz w:val="32"/>
                <w:szCs w:val="32"/>
              </w:rPr>
              <w:t xml:space="preserve">Stavros, Cooperrider &amp; Kelley (2003) — กรอบ SOAR</w:t>
            </w:r>
          </w:p>
          <w:p>
            <w:r>
              <w:rPr>
                <w:rFonts w:ascii="TH Sarabun New" w:hAnsi="TH Sarabun New" w:cs="TH Sarabun New"/>
                <w:sz w:val="26"/>
                <w:szCs w:val="26"/>
              </w:rPr>
              <w:t xml:space="preserve">ตรวจสอบ: </w:t>
            </w:r>
            <w:hyperlink r:id="rId48">
              <w:r>
                <w:rPr>
                  <w:rFonts w:ascii="TH Sarabun New" w:hAnsi="TH Sarabun New" w:cs="TH Sarabun New"/>
                  <w:sz w:val="26"/>
                  <w:szCs w:val="26"/>
                  <w:color w:val="0563C1"/>
                  <w:u w:val="single"/>
                </w:rPr>
                <w:t xml:space="preserve">https://www.researchgate.net/publication/285057032_Strategic_inquiry_with_appreciative_intent_Inspiration_to_SOAR</w:t>
              </w:r>
            </w:hyperlink>
          </w:p>
        </w:tc>
        <w:tc>
          <w:tcPr>
            <w:tcW w:type="dxa" w:w="4153"/>
          </w:tcPr>
          <w:p>
            <w:r>
              <w:rPr>
                <w:rFonts w:ascii="TH Sarabun New" w:hAnsi="TH Sarabun New" w:cs="TH Sarabun New"/>
                <w:sz w:val="32"/>
                <w:szCs w:val="32"/>
              </w:rPr>
              <w:t xml:space="preserve">ระเบียบวิธี: เหตุผลเลือก SOAR (บทวิเคราะห์เชิงกลยุทธ์)</w:t>
            </w:r>
          </w:p>
        </w:tc>
      </w:tr>
      <w:tr>
        <w:tc>
          <w:tcPr>
            <w:tcW w:type="dxa" w:w="4153"/>
          </w:tcPr>
          <w:p>
            <w:r>
              <w:rPr>
                <w:rFonts w:ascii="TH Sarabun New" w:hAnsi="TH Sarabun New" w:cs="TH Sarabun New"/>
                <w:sz w:val="32"/>
                <w:szCs w:val="32"/>
              </w:rPr>
              <w:t xml:space="preserve">12-Item SOAR Scale (2022)</w:t>
            </w:r>
          </w:p>
          <w:p>
            <w:r>
              <w:rPr>
                <w:rFonts w:ascii="TH Sarabun New" w:hAnsi="TH Sarabun New" w:cs="TH Sarabun New"/>
                <w:sz w:val="26"/>
                <w:szCs w:val="26"/>
              </w:rPr>
              <w:t xml:space="preserve">ตรวจสอบ: </w:t>
            </w:r>
            <w:hyperlink r:id="rId49">
              <w:r>
                <w:rPr>
                  <w:rFonts w:ascii="TH Sarabun New" w:hAnsi="TH Sarabun New" w:cs="TH Sarabun New"/>
                  <w:sz w:val="26"/>
                  <w:szCs w:val="26"/>
                  <w:color w:val="0563C1"/>
                  <w:u w:val="single"/>
                </w:rPr>
                <w:t xml:space="preserve">https://pmc.ncbi.nlm.nih.gov/articles/PMC9028961/</w:t>
              </w:r>
            </w:hyperlink>
          </w:p>
        </w:tc>
        <w:tc>
          <w:tcPr>
            <w:tcW w:type="dxa" w:w="4153"/>
          </w:tcPr>
          <w:p>
            <w:r>
              <w:rPr>
                <w:rFonts w:ascii="TH Sarabun New" w:hAnsi="TH Sarabun New" w:cs="TH Sarabun New"/>
                <w:sz w:val="32"/>
                <w:szCs w:val="32"/>
              </w:rPr>
              <w:t xml:space="preserve">ความน่าเชื่อถือเชิงวิชาการของกรอบ SOAR</w:t>
            </w:r>
          </w:p>
        </w:tc>
      </w:tr>
      <w:tr>
        <w:tc>
          <w:tcPr>
            <w:tcW w:type="dxa" w:w="4153"/>
          </w:tcPr>
          <w:p>
            <w:r>
              <w:rPr>
                <w:rFonts w:ascii="TH Sarabun New" w:hAnsi="TH Sarabun New" w:cs="TH Sarabun New"/>
                <w:sz w:val="32"/>
                <w:szCs w:val="32"/>
              </w:rPr>
              <w:t xml:space="preserve">MaaS Global / Whim ล้มละลาย (2567)</w:t>
            </w:r>
          </w:p>
          <w:p>
            <w:r>
              <w:rPr>
                <w:rFonts w:ascii="TH Sarabun New" w:hAnsi="TH Sarabun New" w:cs="TH Sarabun New"/>
                <w:sz w:val="26"/>
                <w:szCs w:val="26"/>
              </w:rPr>
              <w:t xml:space="preserve">ตรวจสอบ: </w:t>
            </w:r>
            <w:hyperlink r:id="rId50">
              <w:r>
                <w:rPr>
                  <w:rFonts w:ascii="TH Sarabun New" w:hAnsi="TH Sarabun New" w:cs="TH Sarabun New"/>
                  <w:sz w:val="26"/>
                  <w:szCs w:val="26"/>
                  <w:color w:val="0563C1"/>
                  <w:u w:val="single"/>
                </w:rPr>
                <w:t xml:space="preserve">https://www.traffictechnologytoday.com/news/mobility-as-a-service/maas-global-declares-bankruptcy.html</w:t>
              </w:r>
            </w:hyperlink>
          </w:p>
        </w:tc>
        <w:tc>
          <w:tcPr>
            <w:tcW w:type="dxa" w:w="4153"/>
          </w:tcPr>
          <w:p>
            <w:r>
              <w:rPr>
                <w:rFonts w:ascii="TH Sarabun New" w:hAnsi="TH Sarabun New" w:cs="TH Sarabun New"/>
                <w:sz w:val="32"/>
                <w:szCs w:val="32"/>
              </w:rPr>
              <w:t xml:space="preserve">reframe O6: private-led ล้ม → public-led (SOAR Opportunities)</w:t>
            </w:r>
          </w:p>
        </w:tc>
      </w:tr>
      <w:tr>
        <w:tc>
          <w:tcPr>
            <w:tcW w:type="dxa" w:w="4153"/>
          </w:tcPr>
          <w:p>
            <w:r>
              <w:rPr>
                <w:rFonts w:ascii="TH Sarabun New" w:hAnsi="TH Sarabun New" w:cs="TH Sarabun New"/>
                <w:sz w:val="32"/>
                <w:szCs w:val="32"/>
              </w:rPr>
              <w:t xml:space="preserve">Transport for NSW — Opal</w:t>
            </w:r>
          </w:p>
          <w:p>
            <w:r>
              <w:rPr>
                <w:rFonts w:ascii="TH Sarabun New" w:hAnsi="TH Sarabun New" w:cs="TH Sarabun New"/>
                <w:sz w:val="26"/>
                <w:szCs w:val="26"/>
              </w:rPr>
              <w:t xml:space="preserve">ตรวจสอบ: </w:t>
            </w:r>
            <w:hyperlink r:id="rId51">
              <w:r>
                <w:rPr>
                  <w:rFonts w:ascii="TH Sarabun New" w:hAnsi="TH Sarabun New" w:cs="TH Sarabun New"/>
                  <w:sz w:val="26"/>
                  <w:szCs w:val="26"/>
                  <w:color w:val="0563C1"/>
                  <w:u w:val="single"/>
                </w:rPr>
                <w:t xml:space="preserve">https://transportnsw.info/tickets-fares/opal</w:t>
              </w:r>
            </w:hyperlink>
          </w:p>
        </w:tc>
        <w:tc>
          <w:tcPr>
            <w:tcW w:type="dxa" w:w="4153"/>
          </w:tcPr>
          <w:p>
            <w:r>
              <w:rPr>
                <w:rFonts w:ascii="TH Sarabun New" w:hAnsi="TH Sarabun New" w:cs="TH Sarabun New"/>
                <w:sz w:val="32"/>
                <w:szCs w:val="32"/>
              </w:rPr>
              <w:t xml:space="preserve">Aspiration A2: single-tap แบบ Sydney (SOAR Aspirations)</w:t>
            </w:r>
          </w:p>
        </w:tc>
      </w:tr>
    </w:tbl>
    <w:p>
      <w:r>
        <w:br w:type="page"/>
      </w:r>
    </w:p>
    <w:p>
      <w:pPr>
        <w:keepNext/>
        <w:spacing w:before="0" w:after="200" w:line="240" w:lineRule="auto"/>
        <w:jc w:val="left"/>
      </w:pPr>
      <w:r>
        <w:rPr>
          <w:rFonts w:ascii="TH Sarabun New" w:hAnsi="TH Sarabun New" w:cs="TH Sarabun New" w:eastAsia="TH Sarabun New"/>
          <w:b/>
          <w:i w:val="0"/>
          <w:color w:val="1F3D6E"/>
          <w:sz w:val="36"/>
          <w:szCs w:val="36"/>
        </w:rPr>
        <w:t>ภาคผนวก ก  รายละเอียดกรณีศึกษาการบูรณาการระบบขนส่งในต่างประเทศ</w:t>
      </w:r>
    </w:p>
    <w:p>
      <w:pPr>
        <w:spacing w:line="240" w:lineRule="auto" w:after="0"/>
        <w:ind w:firstLine="720"/>
        <w:jc w:val="left"/>
      </w:pPr>
      <w:r>
        <w:rPr>
          <w:rFonts w:ascii="TH Sarabun New" w:hAnsi="TH Sarabun New" w:cs="TH Sarabun New" w:eastAsia="TH Sarabun New"/>
          <w:b w:val="0"/>
          <w:i w:val="0"/>
          <w:sz w:val="32"/>
          <w:szCs w:val="32"/>
        </w:rPr>
        <w:t>ภาคผนวกนี้นำเสนอรายละเอียดกรณีศึกษาเมืองชั้นนำที่ประสบความสำเร็จและไม่ประสบความสำเร็จในการบูรณาการระบบขนส่งสาธารณะ เพื่อสกัดบทเรียนสำหรับประเทศไทย</w:t>
      </w:r>
    </w:p>
    <w:p>
      <w:pPr>
        <w:keepNext/>
        <w:spacing w:before="200" w:after="80" w:line="240" w:lineRule="auto"/>
      </w:pPr>
      <w:r>
        <w:rPr>
          <w:rFonts w:ascii="TH Sarabun New" w:hAnsi="TH Sarabun New" w:cs="TH Sarabun New" w:eastAsia="TH Sarabun New"/>
          <w:b/>
          <w:i w:val="0"/>
          <w:color w:val="1F3D6E"/>
          <w:sz w:val="32"/>
          <w:szCs w:val="32"/>
        </w:rPr>
        <w:t>1. กรุงลอนดอน สหราชอาณาจักร (Transport for London)</w:t>
      </w:r>
    </w:p>
    <w:p>
      <w:pPr>
        <w:spacing w:line="240" w:lineRule="auto" w:after="0"/>
        <w:ind w:firstLine="720"/>
        <w:jc w:val="left"/>
      </w:pPr>
      <w:r>
        <w:rPr>
          <w:rFonts w:ascii="TH Sarabun New" w:hAnsi="TH Sarabun New" w:cs="TH Sarabun New" w:eastAsia="TH Sarabun New"/>
          <w:b w:val="0"/>
          <w:i w:val="0"/>
          <w:sz w:val="32"/>
          <w:szCs w:val="32"/>
        </w:rPr>
        <w:t>Transport for London (TfL) เป็นองค์กรกำกับการขนส่งของมหานครลอนดอนที่ควบคุมทั้งระบบรถไฟใต้ดิน รถเมล์ รถราง และระบบจักรยานสาธารณะภายใต้หน่วยงานเดียว จุดเด่นคือการนำระบบ Oyster Card และต่อมาเปลี่ยนเป็นระบบ EMV Open-loop (แตะบัตรเครดิต/เดบิตหรือโทรศัพท์) พร้อมกลไกคิดค่าโดยสารแบบรวมเพดานรายวัน/รายสัปดาห์ (Fare Capping) ปัจจุบันการเดินทางมากกว่าร้อยละ 80 ชำระผ่านระบบ contactless บทเรียนสำคัญคือการมีหน่วยงานเดียวที่ควบคุมทั้งตั๋ว บริการ และโครงสร้างพื้นฐาน ภายใต้กรอบกฎหมายที่ชัดเจน นอกจากนี้ TfL ยังเปิดเผยข้อมูลแบบเปิด (Open Data) ให้ภาคเอกชนนำไปพัฒนาแอปพลิเคชันต่อยอดกว่า 600 แอป สร้างระบบนิเวศนวัตกรรมและทางเลือกให้ผู้ใช้ ขณะที่ยังคงควบคุมมาตรฐานและนโยบายค่าโดยสารไว้ที่ภาครัฐ ซึ่งเป็นแบบจำลองที่ข้อเสนอนี้นำมาประยุกต์ใช้กับบริบทไทย</w:t>
      </w:r>
    </w:p>
    <w:p>
      <w:pPr>
        <w:keepNext/>
        <w:spacing w:before="200" w:after="80" w:line="240" w:lineRule="auto"/>
      </w:pPr>
      <w:r>
        <w:rPr>
          <w:rFonts w:ascii="TH Sarabun New" w:hAnsi="TH Sarabun New" w:cs="TH Sarabun New" w:eastAsia="TH Sarabun New"/>
          <w:b/>
          <w:i w:val="0"/>
          <w:color w:val="1F3D6E"/>
          <w:sz w:val="32"/>
          <w:szCs w:val="32"/>
        </w:rPr>
        <w:t>2. สิงคโปร์ (Land Transport Authority)</w:t>
      </w:r>
    </w:p>
    <w:p>
      <w:pPr>
        <w:spacing w:line="240" w:lineRule="auto" w:after="0"/>
        <w:ind w:firstLine="720"/>
        <w:jc w:val="left"/>
      </w:pPr>
      <w:r>
        <w:rPr>
          <w:rFonts w:ascii="TH Sarabun New" w:hAnsi="TH Sarabun New" w:cs="TH Sarabun New" w:eastAsia="TH Sarabun New"/>
          <w:b w:val="0"/>
          <w:i w:val="0"/>
          <w:sz w:val="32"/>
          <w:szCs w:val="32"/>
        </w:rPr>
        <w:t>สิงคโปร์ใช้มาตรการทางเศรษฐศาสตร์อย่างเข้มข้นควบคู่กับระบบขนส่งสาธารณะคุณภาพสูง ได้แก่ ระบบเก็บค่าผ่านทางอิเล็กทรอนิกส์ (Electronic Road Pricing: ERP) ที่ปรับอัตราตามความหนาแน่นแบบเรียลไทม์ และระบบโควตารถยนต์ (Certificate of Entitlement: COE) ที่จำกัดจำนวนรถยนต์ ทำให้สัดส่วนการเดินทางด้วยระบบขนส่งสาธารณะสูงถึงร้อยละ 50 บทเรียนคือมาตรการเศรษฐศาสตร์ที่ออกแบบดีสามารถปรับพฤติกรรมและสร้างรายได้เพื่อลงทุนต่อได้ อย่างไรก็ตาม บทเรียนที่ต้องระมัดระวังคือมาตรการเชิงควบคุมที่เข้มงวดต้องมาพร้อมระบบขนส่งสาธารณะคุณภาพสูงและทางเลือกที่เพียงพอ มิฉะนั้นจะสร้างภาระและแรงต้านจากประชาชน ดังนั้น การประยุกต์ใช้กับไทยจึงควรเริ่มจากการยกระดับบริการและมาตรการจูงใจก่อนนำมาตรการควบคุมมาใช้</w:t>
      </w:r>
    </w:p>
    <w:p>
      <w:pPr>
        <w:keepNext/>
        <w:spacing w:before="200" w:after="80" w:line="240" w:lineRule="auto"/>
      </w:pPr>
      <w:r>
        <w:rPr>
          <w:rFonts w:ascii="TH Sarabun New" w:hAnsi="TH Sarabun New" w:cs="TH Sarabun New" w:eastAsia="TH Sarabun New"/>
          <w:b/>
          <w:i w:val="0"/>
          <w:color w:val="1F3D6E"/>
          <w:sz w:val="32"/>
          <w:szCs w:val="32"/>
        </w:rPr>
        <w:t>3. กรุงเบอร์ลิน เยอรมนี (Jelbi/BVG) และกรุงเวียนนา ออสเตรีย (WienMobil)</w:t>
      </w:r>
    </w:p>
    <w:p>
      <w:pPr>
        <w:spacing w:line="240" w:lineRule="auto" w:after="0"/>
        <w:ind w:firstLine="720"/>
        <w:jc w:val="left"/>
      </w:pPr>
      <w:r>
        <w:rPr>
          <w:rFonts w:ascii="TH Sarabun New" w:hAnsi="TH Sarabun New" w:cs="TH Sarabun New" w:eastAsia="TH Sarabun New"/>
          <w:b w:val="0"/>
          <w:i w:val="0"/>
          <w:sz w:val="32"/>
          <w:szCs w:val="32"/>
        </w:rPr>
        <w:t>ทั้งสองเมืองใช้รูปแบบที่ภาครัฐเป็นผู้นำ โดยรัฐวิสาหกิจขนส่ง (BVG และ Wiener Linien) เป็นเจ้าของแพลตฟอร์ม MaaS ที่รวมทุกโหมดไว้ในแอปเดียว กรุงเวียนนาเน้นบัตรรายปีราคาประหยัด (365 ยูโรต่อปี หรือวันละ 1 ยูโร) ที่ช่วยเพิ่มจำนวนผู้ใช้อย่างมีนัยสำคัญ บทเรียนคือการที่ภาครัฐเป็นเจ้าของแพลตฟอร์มช่วยให้การบูรณาการยั่งยืนและไม่ขึ้นกับความเสี่ยงทางธุรกิจของเอกชน กรณีกรุงเวียนนายังแสดงให้เห็นว่าการกำหนดราคาที่เข้าถึงได้ (บัตรรายปีราคา 1 ยูโรต่อวัน) ประกอบกับบริการที่มีคุณภาพ สามารถจูงใจให้ประชาชนเปลี่ยนมาใช้ระบบขนส่งสาธารณะเป็นจำนวนมาก จนจำนวนผู้ถือบัตรรายปีแซงจำนวนรถยนต์จดทะเบียนในเมือง</w:t>
      </w:r>
    </w:p>
    <w:p>
      <w:pPr>
        <w:keepNext/>
        <w:spacing w:before="200" w:after="80" w:line="240" w:lineRule="auto"/>
      </w:pPr>
      <w:r>
        <w:rPr>
          <w:rFonts w:ascii="TH Sarabun New" w:hAnsi="TH Sarabun New" w:cs="TH Sarabun New" w:eastAsia="TH Sarabun New"/>
          <w:b/>
          <w:i w:val="0"/>
          <w:color w:val="1F3D6E"/>
          <w:sz w:val="32"/>
          <w:szCs w:val="32"/>
        </w:rPr>
        <w:t>4. กรุงเฮลซิงกิ ฟินแลนด์ (Whim/MaaS Global) — กรณีศึกษาความล้มเหลว</w:t>
      </w:r>
    </w:p>
    <w:p>
      <w:pPr>
        <w:spacing w:line="240" w:lineRule="auto" w:after="0"/>
        <w:ind w:firstLine="720"/>
        <w:jc w:val="left"/>
      </w:pPr>
      <w:r>
        <w:rPr>
          <w:rFonts w:ascii="TH Sarabun New" w:hAnsi="TH Sarabun New" w:cs="TH Sarabun New" w:eastAsia="TH Sarabun New"/>
          <w:b w:val="0"/>
          <w:i w:val="0"/>
          <w:sz w:val="32"/>
          <w:szCs w:val="32"/>
        </w:rPr>
        <w:t>แอป Whim ของบริษัท MaaS Global เป็นต้นแบบ MaaS ระดับโลกที่ให้เอกชนเป็นผู้นำ แต่ได้ยื่นล้มละลายในเดือนมีนาคม 2567 สาเหตุสำคัญคือการไม่มีอำนาจควบคุมผู้ให้บริการขนส่งและโครงสร้างราคา ทำให้รูปแบบธุรกิจไม่ยั่งยืน บทเรียนคือรูปแบบที่ให้เอกชนเป็นผู้นำโดยลำพังมีความเสี่ยงสูง ตอกย้ำความจำเป็นของรูปแบบที่ภาครัฐเป็นผู้นำ บทเรียนเพิ่มเติมคือเทคโนโลยีและแอปพลิเคชันที่ล้ำสมัยเพียงอย่างเดียวไม่ใช่หลักประกันความสำเร็จ หากขาดรูปแบบธุรกิจที่ยั่งยืนและการสนับสนุนเชิงสถาบันจากภาครัฐ การออกแบบโครงการของไทยจึงให้ความสำคัญกับความยั่งยืนทางการเงินและโครงสร้างธรรมาภิบาลตั้งแต่ต้น</w:t>
      </w:r>
    </w:p>
    <w:p>
      <w:pPr>
        <w:spacing w:line="240" w:lineRule="auto" w:after="0"/>
        <w:ind w:firstLine="720"/>
        <w:jc w:val="left"/>
      </w:pPr>
      <w:r>
        <w:rPr>
          <w:rFonts w:ascii="TH Sarabun New" w:hAnsi="TH Sarabun New" w:cs="TH Sarabun New" w:eastAsia="TH Sarabun New"/>
          <w:b w:val="0"/>
          <w:i w:val="0"/>
          <w:sz w:val="32"/>
          <w:szCs w:val="32"/>
        </w:rPr>
        <w:t>ตารางสรุปเปรียบเทียบกรณีศึกษาเพิ่มเติม (รวมโซล โตเกียว และปารีส) แสดงดังนี้</w:t>
      </w:r>
    </w:p>
    <w:p>
      <w:pPr>
        <w:keepNext/>
        <w:spacing w:before="160" w:after="40"/>
        <w:jc w:val="center"/>
      </w:pPr>
      <w:r>
        <w:rPr>
          <w:rFonts w:ascii="TH Sarabun New" w:hAnsi="TH Sarabun New" w:cs="TH Sarabun New" w:eastAsia="TH Sarabun New"/>
          <w:b/>
          <w:i w:val="0"/>
          <w:sz w:val="28"/>
          <w:szCs w:val="28"/>
        </w:rPr>
        <w:t>ตาราง ก-1  สรุปกรณีศึกษาการบูรณาการระบบขนส่งเพิ่มเติม</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170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เมือง</w:t>
            </w:r>
          </w:p>
        </w:tc>
        <w:tc>
          <w:tcPr>
            <w:tcW w:type="dxa" w:w="4252"/>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รูปแบบ/มาตรการเด่น</w:t>
            </w:r>
          </w:p>
        </w:tc>
        <w:tc>
          <w:tcPr>
            <w:tcW w:type="dxa" w:w="226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ผลลัพธ์</w:t>
            </w:r>
          </w:p>
        </w:tc>
      </w:tr>
      <w:tr>
        <w:trPr>
          <w:cantSplit/>
        </w:trPr>
        <w:tc>
          <w:tcPr>
            <w:tcW w:type="dxa" w:w="1701"/>
            <w:vAlign w:val="top"/>
          </w:tcPr>
          <w:p>
            <w:pPr>
              <w:spacing w:after="0" w:line="240" w:lineRule="auto"/>
              <w:jc w:val="left"/>
            </w:pPr>
            <w:r/>
            <w:r>
              <w:rPr>
                <w:rFonts w:ascii="TH Sarabun New" w:hAnsi="TH Sarabun New" w:cs="TH Sarabun New" w:eastAsia="TH Sarabun New"/>
                <w:b w:val="0"/>
                <w:i w:val="0"/>
                <w:sz w:val="26"/>
                <w:szCs w:val="26"/>
              </w:rPr>
              <w:t>โซล (เกาหลีใต้)</w:t>
            </w:r>
          </w:p>
        </w:tc>
        <w:tc>
          <w:tcPr>
            <w:tcW w:type="dxa" w:w="4252"/>
            <w:vAlign w:val="top"/>
          </w:tcPr>
          <w:p>
            <w:pPr>
              <w:spacing w:after="0" w:line="240" w:lineRule="auto"/>
              <w:jc w:val="left"/>
            </w:pPr>
            <w:r/>
            <w:r>
              <w:rPr>
                <w:rFonts w:ascii="TH Sarabun New" w:hAnsi="TH Sarabun New" w:cs="TH Sarabun New" w:eastAsia="TH Sarabun New"/>
                <w:b w:val="0"/>
                <w:i w:val="0"/>
                <w:sz w:val="26"/>
                <w:szCs w:val="26"/>
              </w:rPr>
              <w:t>บูรณาการตั๋ว T-money ทุกโหมด · ปฏิรูปรถเมล์เป็นระบบเดียว</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ขนส่งสาธารณะ &gt; 60%</w:t>
            </w:r>
          </w:p>
        </w:tc>
      </w:tr>
      <w:tr>
        <w:trPr>
          <w:cantSplit/>
        </w:trPr>
        <w:tc>
          <w:tcPr>
            <w:tcW w:type="dxa" w:w="1701"/>
            <w:vAlign w:val="top"/>
          </w:tcPr>
          <w:p>
            <w:pPr>
              <w:spacing w:after="0" w:line="240" w:lineRule="auto"/>
              <w:jc w:val="left"/>
            </w:pPr>
            <w:r/>
            <w:r>
              <w:rPr>
                <w:rFonts w:ascii="TH Sarabun New" w:hAnsi="TH Sarabun New" w:cs="TH Sarabun New" w:eastAsia="TH Sarabun New"/>
                <w:b w:val="0"/>
                <w:i w:val="0"/>
                <w:sz w:val="26"/>
                <w:szCs w:val="26"/>
              </w:rPr>
              <w:t>โตเกียว (ญี่ปุ่น)</w:t>
            </w:r>
          </w:p>
        </w:tc>
        <w:tc>
          <w:tcPr>
            <w:tcW w:type="dxa" w:w="4252"/>
            <w:vAlign w:val="top"/>
          </w:tcPr>
          <w:p>
            <w:pPr>
              <w:spacing w:after="0" w:line="240" w:lineRule="auto"/>
              <w:jc w:val="left"/>
            </w:pPr>
            <w:r/>
            <w:r>
              <w:rPr>
                <w:rFonts w:ascii="TH Sarabun New" w:hAnsi="TH Sarabun New" w:cs="TH Sarabun New" w:eastAsia="TH Sarabun New"/>
                <w:b w:val="0"/>
                <w:i w:val="0"/>
                <w:sz w:val="26"/>
                <w:szCs w:val="26"/>
              </w:rPr>
              <w:t>บัตร Suica/Pasmo · เครือข่ายรางหนาแน่น · TOD รอบสถานี</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ขนส่งสาธารณะ ~ 60%</w:t>
            </w:r>
          </w:p>
        </w:tc>
      </w:tr>
      <w:tr>
        <w:trPr>
          <w:cantSplit/>
        </w:trPr>
        <w:tc>
          <w:tcPr>
            <w:tcW w:type="dxa" w:w="1701"/>
            <w:vAlign w:val="top"/>
          </w:tcPr>
          <w:p>
            <w:pPr>
              <w:spacing w:after="0" w:line="240" w:lineRule="auto"/>
              <w:jc w:val="left"/>
            </w:pPr>
            <w:r/>
            <w:r>
              <w:rPr>
                <w:rFonts w:ascii="TH Sarabun New" w:hAnsi="TH Sarabun New" w:cs="TH Sarabun New" w:eastAsia="TH Sarabun New"/>
                <w:b w:val="0"/>
                <w:i w:val="0"/>
                <w:sz w:val="26"/>
                <w:szCs w:val="26"/>
              </w:rPr>
              <w:t>ปารีส (ฝรั่งเศส)</w:t>
            </w:r>
          </w:p>
        </w:tc>
        <w:tc>
          <w:tcPr>
            <w:tcW w:type="dxa" w:w="4252"/>
            <w:vAlign w:val="top"/>
          </w:tcPr>
          <w:p>
            <w:pPr>
              <w:spacing w:after="0" w:line="240" w:lineRule="auto"/>
              <w:jc w:val="left"/>
            </w:pPr>
            <w:r/>
            <w:r>
              <w:rPr>
                <w:rFonts w:ascii="TH Sarabun New" w:hAnsi="TH Sarabun New" w:cs="TH Sarabun New" w:eastAsia="TH Sarabun New"/>
                <w:b w:val="0"/>
                <w:i w:val="0"/>
                <w:sz w:val="26"/>
                <w:szCs w:val="26"/>
              </w:rPr>
              <w:t>ค่าธรรมเนียมการขนส่ง Versement Mobilité จากนายจ้าง · Complete Streets</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ลดรถยนต์ในเมืองชั้นใน</w:t>
            </w:r>
          </w:p>
        </w:tc>
      </w:tr>
      <w:tr>
        <w:trPr>
          <w:cantSplit/>
        </w:trPr>
        <w:tc>
          <w:tcPr>
            <w:tcW w:type="dxa" w:w="1701"/>
            <w:vAlign w:val="top"/>
          </w:tcPr>
          <w:p>
            <w:pPr>
              <w:spacing w:after="0" w:line="240" w:lineRule="auto"/>
              <w:jc w:val="left"/>
            </w:pPr>
            <w:r/>
            <w:r>
              <w:rPr>
                <w:rFonts w:ascii="TH Sarabun New" w:hAnsi="TH Sarabun New" w:cs="TH Sarabun New" w:eastAsia="TH Sarabun New"/>
                <w:b w:val="0"/>
                <w:i w:val="0"/>
                <w:sz w:val="26"/>
                <w:szCs w:val="26"/>
              </w:rPr>
              <w:t>สตอกโฮล์ม (สวีเดน)</w:t>
            </w:r>
          </w:p>
        </w:tc>
        <w:tc>
          <w:tcPr>
            <w:tcW w:type="dxa" w:w="4252"/>
            <w:vAlign w:val="top"/>
          </w:tcPr>
          <w:p>
            <w:pPr>
              <w:spacing w:after="0" w:line="240" w:lineRule="auto"/>
              <w:jc w:val="left"/>
            </w:pPr>
            <w:r/>
            <w:r>
              <w:rPr>
                <w:rFonts w:ascii="TH Sarabun New" w:hAnsi="TH Sarabun New" w:cs="TH Sarabun New" w:eastAsia="TH Sarabun New"/>
                <w:b w:val="0"/>
                <w:i w:val="0"/>
                <w:sz w:val="26"/>
                <w:szCs w:val="26"/>
              </w:rPr>
              <w:t>Congestion Charge เขตเมืองชั้นใน</w:t>
            </w:r>
          </w:p>
        </w:tc>
        <w:tc>
          <w:tcPr>
            <w:tcW w:type="dxa" w:w="2268"/>
            <w:vAlign w:val="top"/>
          </w:tcPr>
          <w:p>
            <w:pPr>
              <w:spacing w:after="0" w:line="240" w:lineRule="auto"/>
              <w:jc w:val="left"/>
            </w:pPr>
            <w:r/>
            <w:r>
              <w:rPr>
                <w:rFonts w:ascii="TH Sarabun New" w:hAnsi="TH Sarabun New" w:cs="TH Sarabun New" w:eastAsia="TH Sarabun New"/>
                <w:b w:val="0"/>
                <w:i w:val="0"/>
                <w:sz w:val="26"/>
                <w:szCs w:val="26"/>
              </w:rPr>
              <w:t>ลดจราจร 20% · ลดมลพิษ</w:t>
            </w:r>
          </w:p>
        </w:tc>
      </w:tr>
    </w:tbl>
    <w:p>
      <w:pPr>
        <w:spacing w:after="120"/>
      </w:pPr>
    </w:p>
    <w:p>
      <w:pPr>
        <w:keepNext/>
        <w:spacing w:before="200" w:after="80" w:line="240" w:lineRule="auto"/>
      </w:pPr>
      <w:r>
        <w:rPr>
          <w:rFonts w:ascii="TH Sarabun New" w:hAnsi="TH Sarabun New" w:cs="TH Sarabun New" w:eastAsia="TH Sarabun New"/>
          <w:b/>
          <w:i w:val="0"/>
          <w:color w:val="1F3D6E"/>
          <w:sz w:val="32"/>
          <w:szCs w:val="32"/>
        </w:rPr>
        <w:t>5. บทเรียนสรุปและการประยุกต์ใช้กับประเทศไทย</w:t>
      </w:r>
    </w:p>
    <w:p>
      <w:pPr>
        <w:spacing w:line="240" w:lineRule="auto" w:after="0"/>
        <w:ind w:firstLine="720"/>
        <w:jc w:val="left"/>
      </w:pPr>
      <w:r>
        <w:rPr>
          <w:rFonts w:ascii="TH Sarabun New" w:hAnsi="TH Sarabun New" w:cs="TH Sarabun New" w:eastAsia="TH Sarabun New"/>
          <w:b w:val="0"/>
          <w:i w:val="0"/>
          <w:sz w:val="32"/>
          <w:szCs w:val="32"/>
        </w:rPr>
        <w:t>จากการทบทวนกรณีศึกษาข้างต้น คณะผู้จัดทำสกัดบทเรียนสำคัญ 5 ประการที่ประเทศไทยควรนำมาประยุกต์ใช้ ได้แก่ (1) ความสำเร็จต้องอาศัยหน่วยงานเดียวที่ควบคุมทั้งระบบภายใต้กรอบกฎหมาย (2) รูปแบบที่ภาครัฐเป็นผู้นำมีความยั่งยืนกว่ารูปแบบที่ให้เอกชนนำลำพัง (3) มาตรการทางเศรษฐศาสตร์ที่ออกแบบดีช่วยปรับพฤติกรรมและสร้างรายได้เพื่อลงทุนต่อ (4) การคิดค่าโดยสารแบบรวมเพดานและการชำระเงินแบบเปิด (EMV) ช่วยลดอุปสรรคการเข้าถึง และ (5) การดำเนินการแบบเป็นระยะและการพิสูจน์ผลด้วยข้อมูลช่วยลดความเสี่ยงและสร้างการยอมรับ ทั้งนี้ การประยุกต์ใช้ต้องคำนึงถึงบริบทเฉพาะของไทย ทั้งโครงสร้างสถาบัน ความพร้อมด้านงบประมาณ และการยอมรับของประชาชน</w:t>
      </w:r>
    </w:p>
    <w:p>
      <w:pPr>
        <w:spacing w:line="240" w:lineRule="auto" w:after="0"/>
        <w:ind w:firstLine="720"/>
        <w:jc w:val="left"/>
      </w:pPr>
      <w:r>
        <w:rPr>
          <w:rFonts w:ascii="TH Sarabun New" w:hAnsi="TH Sarabun New" w:cs="TH Sarabun New" w:eastAsia="TH Sarabun New"/>
          <w:b w:val="0"/>
          <w:i w:val="0"/>
          <w:sz w:val="32"/>
          <w:szCs w:val="32"/>
        </w:rPr>
        <w:t>ประเด็นที่ควรพิจารณาเพิ่มเติมจากกรณีศึกษาคือ "ลำดับและจังหวะ" ของการดำเนินมาตรการ (Sequencing and Timing) เมืองที่ประสบความสำเร็จมักเริ่มจากการยกระดับคุณภาพบริการและการบูรณาการตั๋วก่อน เพื่อสร้างทางเลือกที่ดีให้ประชาชน แล้วจึงค่อยนำมาตรการเชิงควบคุมและมาตรการทางเศรษฐศาสตร์มาใช้เมื่อมีทางเลือกที่เพียงพอแล้ว การเรียงลำดับเช่นนี้ช่วยลดแรงต้านทางสังคมและการเมือง ซึ่งเป็นปัจจัยที่มีความสำคัญอย่างยิ่งในบริบทไทย</w:t>
      </w:r>
    </w:p>
    <w:p>
      <w:pPr>
        <w:spacing w:line="240" w:lineRule="auto" w:after="0"/>
        <w:ind w:firstLine="720"/>
        <w:jc w:val="left"/>
      </w:pPr>
      <w:r>
        <w:rPr>
          <w:rFonts w:ascii="TH Sarabun New" w:hAnsi="TH Sarabun New" w:cs="TH Sarabun New" w:eastAsia="TH Sarabun New"/>
          <w:b w:val="0"/>
          <w:i w:val="0"/>
          <w:sz w:val="32"/>
          <w:szCs w:val="32"/>
        </w:rPr>
        <w:t>นอกจากนี้ กรณีศึกษายังชี้ให้เห็นถึงความสำคัญของ "ความสม่ำเสมอเชิงนโยบาย" (Policy Consistency) เมืองที่ประสบความสำเร็จล้วนรักษาทิศทางนโยบายไว้อย่างต่อเนื่องเป็นเวลาหลายปี แม้จะมีการเปลี่ยนผู้บริหาร ในขณะที่หลายโครงการในประเทศไทยในอดีตขาดความต่อเนื่อง ดังนั้น การบรรจุเป้าหมายและแผนการบูรณาการไว้ในกฎหมาย แผนยุทธศาสตร์ และงบประมาณผูกพัน จึงเป็นกลไกสำคัญที่ช่วยประกันความต่อเนื่องของนโยบาย</w:t>
      </w:r>
    </w:p>
    <w:p>
      <w:pPr>
        <w:spacing w:line="240" w:lineRule="auto" w:after="0"/>
        <w:ind w:firstLine="720"/>
        <w:jc w:val="left"/>
      </w:pPr>
      <w:r>
        <w:rPr>
          <w:rFonts w:ascii="TH Sarabun New" w:hAnsi="TH Sarabun New" w:cs="TH Sarabun New" w:eastAsia="TH Sarabun New"/>
          <w:b w:val="0"/>
          <w:i w:val="0"/>
          <w:sz w:val="32"/>
          <w:szCs w:val="32"/>
        </w:rPr>
        <w:t>ท้ายที่สุด คณะผู้จัดทำเห็นว่าประเทศไทยมีข้อได้เปรียบบางประการที่เมืองอื่นไม่มี เช่น โครงสร้างพื้นฐานการชำระเงินดิจิทัล (PromptPay) ที่ประชาชนใช้อย่างแพร่หลาย ระบบยืนยันตัวตนดิจิทัล (ThaID) และเครือข่ายรถไฟฟ้าที่ขยายตัวอย่างรวดเร็ว หากใช้ข้อได้เปรียบเหล่านี้อย่างชาญฉลาด ประเทศไทยสามารถ "ก้าวกระโดด" (Leapfrog) ไปสู่ระบบขนส่งบูรณาการระดับสากลได้ในระยะเวลาที่สั้นกว่าหลายประเทศ</w:t>
      </w:r>
    </w:p>
    <w:p>
      <w:r>
        <w:br w:type="page"/>
      </w:r>
    </w:p>
    <w:p>
      <w:pPr>
        <w:keepNext/>
        <w:spacing w:before="0" w:after="200" w:line="240" w:lineRule="auto"/>
        <w:jc w:val="left"/>
      </w:pPr>
      <w:r>
        <w:rPr>
          <w:rFonts w:ascii="TH Sarabun New" w:hAnsi="TH Sarabun New" w:cs="TH Sarabun New" w:eastAsia="TH Sarabun New"/>
          <w:b/>
          <w:i w:val="0"/>
          <w:color w:val="1F3D6E"/>
          <w:sz w:val="36"/>
          <w:szCs w:val="36"/>
        </w:rPr>
        <w:t>ภาคผนวก ข  บทวิเคราะห์ SOAR และ PESTEL โดยละเอียด</w:t>
      </w:r>
    </w:p>
    <w:p>
      <w:pPr>
        <w:spacing w:line="240" w:lineRule="auto" w:after="0"/>
        <w:ind w:firstLine="720"/>
        <w:jc w:val="left"/>
      </w:pPr>
      <w:r>
        <w:rPr>
          <w:rFonts w:ascii="TH Sarabun New" w:hAnsi="TH Sarabun New" w:cs="TH Sarabun New" w:eastAsia="TH Sarabun New"/>
          <w:b w:val="0"/>
          <w:i w:val="0"/>
          <w:sz w:val="32"/>
          <w:szCs w:val="32"/>
        </w:rPr>
        <w:t>ภาคผนวกนี้ขยายรายละเอียดการวิเคราะห์เชิงกลยุทธ์ด้วยกรอบ SOAR และ PESTEL พร้อมการแปลงเป็นกลยุทธ์เชิงรุกผ่าน SOAR Strategy Matrix ทั้งนี้ ประเด็นจุดอ่อน (W) และภัยคุกคาม (T) ในกรอบ SWOT เดิม ได้รับการจัดวางใหม่เป็นโอกาส/ความมุ่งปรารถนา หรือย้ายไปบริหารในหัวข้อการบริหารความเสี่ยง ดังสรุปในตารางการย้ายเนื้อหา</w:t>
      </w:r>
    </w:p>
    <w:p>
      <w:pPr>
        <w:keepNext/>
        <w:spacing w:before="200" w:after="80" w:line="240" w:lineRule="auto"/>
      </w:pPr>
      <w:r>
        <w:rPr>
          <w:rFonts w:ascii="TH Sarabun New" w:hAnsi="TH Sarabun New" w:cs="TH Sarabun New" w:eastAsia="TH Sarabun New"/>
          <w:b/>
          <w:i w:val="0"/>
          <w:color w:val="1F3D6E"/>
          <w:sz w:val="32"/>
          <w:szCs w:val="32"/>
        </w:rPr>
        <w:t>1. การวิเคราะห์ SOAR โดยละเอียด</w:t>
      </w:r>
    </w:p>
    <w:p>
      <w:pPr>
        <w:spacing w:line="240" w:lineRule="auto" w:after="40"/>
        <w:ind w:left="1077" w:hanging="312"/>
        <w:jc w:val="left"/>
      </w:pPr>
      <w:r>
        <w:rPr>
          <w:rFonts w:ascii="TH Sarabun New" w:hAnsi="TH Sarabun New" w:cs="TH Sarabun New" w:eastAsia="TH Sarabun New"/>
          <w:b w:val="0"/>
          <w:i w:val="0"/>
          <w:sz w:val="32"/>
          <w:szCs w:val="32"/>
        </w:rPr>
        <w:t>•  จุดแข็ง (S): โครงข่ายราง 12+ สาย (M-MAP 2) · โครงสร้างพื้นฐานดิจิทัลพร้อม (PromptPay, ThaID, smartphone &gt;90%) · อำนาจ พ.ร.บ. ตั๋วร่วม 2568 (VRIO: ยั่งยืน) · หน่วยงานครบทุกโหมด + เอกชนแข็งแกร่ง · ประชาชนคุ้นเคย contactless</w:t>
      </w:r>
      <w:r>
        <w:rPr>
          <w:rFonts w:ascii="TH Sarabun New" w:hAnsi="TH Sarabun New" w:cs="TH Sarabun New" w:eastAsia="TH Sarabun New"/>
          <w:b w:val="0"/>
          <w:i w:val="0"/>
          <w:sz w:val="32"/>
          <w:szCs w:val="32"/>
        </w:rPr>
      </w:r>
    </w:p>
    <w:p>
      <w:pPr>
        <w:spacing w:line="240" w:lineRule="auto" w:after="40"/>
        <w:ind w:left="1077" w:hanging="312"/>
        <w:jc w:val="left"/>
      </w:pPr>
      <w:r>
        <w:rPr>
          <w:rFonts w:ascii="TH Sarabun New" w:hAnsi="TH Sarabun New" w:cs="TH Sarabun New" w:eastAsia="TH Sarabun New"/>
          <w:b w:val="0"/>
          <w:i w:val="0"/>
          <w:sz w:val="32"/>
          <w:szCs w:val="32"/>
        </w:rPr>
        <w:t>•  โอกาส (O): EMV/ABT + MaaS เป็นมาตรฐานโลก · บทเรียน public-led (London/Singapore/Berlin Jelbi/Vienna/Seoul/Sydney) · EV 30@30 + Net-Zero 2065 · คนรุ่นใหม่รับ shared mobility · ความร่วมมือ TfL/BVG · (reframe) กฎหมายลูกบังคับ Open API ก้าวข้ามจุดที่ Whim ล้ม · (reframe) ออกแบบ climate-resilient เป็นต้นแบบ</w:t>
      </w:r>
      <w:r>
        <w:rPr>
          <w:rFonts w:ascii="TH Sarabun New" w:hAnsi="TH Sarabun New" w:cs="TH Sarabun New" w:eastAsia="TH Sarabun New"/>
          <w:b w:val="0"/>
          <w:i w:val="0"/>
          <w:sz w:val="32"/>
          <w:szCs w:val="32"/>
        </w:rPr>
      </w:r>
    </w:p>
    <w:p>
      <w:pPr>
        <w:spacing w:line="240" w:lineRule="auto" w:after="40"/>
        <w:ind w:left="1077" w:hanging="312"/>
        <w:jc w:val="left"/>
      </w:pPr>
      <w:r>
        <w:rPr>
          <w:rFonts w:ascii="TH Sarabun New" w:hAnsi="TH Sarabun New" w:cs="TH Sarabun New" w:eastAsia="TH Sarabun New"/>
          <w:b w:val="0"/>
          <w:i w:val="0"/>
          <w:sz w:val="32"/>
          <w:szCs w:val="32"/>
        </w:rPr>
        <w:t>•  ความมุ่งมาดปรารถนา (A): สมุทรปราการเป็นต้นแบบ MaaS แบบ public-led ระดับอาเซียน (เทียบ Berlin Jelbi/Vienna) · ตั๋วร่วม "แตะเดียวทั้งจังหวัด" แบบ London/Sydney · First/Last mile แบบ inclusive · เมืองคาร์บอนต่ำ-ทนภูมิอากาศ (SDG 11/13) · ขยายผลทั่วประเทศภายใน พ.ศ. 2576</w:t>
      </w:r>
      <w:r>
        <w:rPr>
          <w:rFonts w:ascii="TH Sarabun New" w:hAnsi="TH Sarabun New" w:cs="TH Sarabun New" w:eastAsia="TH Sarabun New"/>
          <w:b w:val="0"/>
          <w:i w:val="0"/>
          <w:sz w:val="32"/>
          <w:szCs w:val="32"/>
        </w:rPr>
      </w:r>
    </w:p>
    <w:p>
      <w:pPr>
        <w:spacing w:line="240" w:lineRule="auto" w:after="40"/>
        <w:ind w:left="1077" w:hanging="312"/>
        <w:jc w:val="left"/>
      </w:pPr>
      <w:r>
        <w:rPr>
          <w:rFonts w:ascii="TH Sarabun New" w:hAnsi="TH Sarabun New" w:cs="TH Sarabun New" w:eastAsia="TH Sarabun New"/>
          <w:b w:val="0"/>
          <w:i w:val="0"/>
          <w:sz w:val="32"/>
          <w:szCs w:val="32"/>
        </w:rPr>
        <w:t>•  ผลลัพธ์ที่วัดได้ (R): Modal share ≥20% · CO₂ -30% · เวลา -25% · ตั๋วร่วม EMV/ABT ≥80% · First/Last mile ≤10 นาที · อุบัติเหตุ -40% · NPS +40% · BCR 8–12 เท่า · บุคลากร ≥200 คน · แอป ≥10 (เชื่อมตรงกับ KPI และ Balanced Scorecard)</w:t>
      </w:r>
      <w:r>
        <w:rPr>
          <w:rFonts w:ascii="TH Sarabun New" w:hAnsi="TH Sarabun New" w:cs="TH Sarabun New" w:eastAsia="TH Sarabun New"/>
          <w:b w:val="0"/>
          <w:i w:val="0"/>
          <w:sz w:val="32"/>
          <w:szCs w:val="32"/>
        </w:rPr>
      </w:r>
    </w:p>
    <w:p>
      <w:r>
        <w:rPr>
          <w:rFonts w:ascii="TH Sarabun New" w:hAnsi="TH Sarabun New" w:cs="TH Sarabun New"/>
          <w:sz w:val="32"/>
          <w:szCs w:val="32"/>
          <w:b/>
          <w:bCs/>
        </w:rPr>
        <w:t xml:space="preserve">ตาราง ข-1ก  การย้ายเนื้อหาจากกรอบ SWOT เดิมสู่ SOAR / การบริหารความเสี่ยง</w:t>
      </w:r>
    </w:p>
    <w:tbl>
      <w:tblPr>
        <w:tblStyle w:val="TableGrid"/>
        <w:tblW w:type="auto" w:w="0"/>
        <w:tblLook w:firstColumn="1" w:firstRow="1" w:lastColumn="0" w:lastRow="0" w:noHBand="0" w:noVBand="1" w:val="04A0"/>
      </w:tblPr>
      <w:tblGrid>
        <w:gridCol w:w="2769"/>
        <w:gridCol w:w="2769"/>
        <w:gridCol w:w="2769"/>
      </w:tblGrid>
      <w:tr>
        <w:tc>
          <w:tcPr>
            <w:tcW w:type="dxa" w:w="2769"/>
          </w:tcPr>
          <w:p>
            <w:pPr>
              <w:spacing w:after="40" w:before="0"/>
              <w:jc w:val="left"/>
            </w:pPr>
            <w:r>
              <w:rPr>
                <w:rFonts w:ascii="TH Sarabun New" w:hAnsi="TH Sarabun New" w:cs="TH Sarabun New"/>
                <w:sz w:val="30"/>
                <w:szCs w:val="30"/>
                <w:b/>
                <w:bCs/>
              </w:rPr>
              <w:t xml:space="preserve">รายการเดิม (SWOT)</w:t>
            </w:r>
          </w:p>
        </w:tc>
        <w:tc>
          <w:tcPr>
            <w:tcW w:type="dxa" w:w="2769"/>
          </w:tcPr>
          <w:p>
            <w:pPr>
              <w:spacing w:after="40" w:before="0"/>
              <w:jc w:val="left"/>
            </w:pPr>
            <w:r>
              <w:rPr>
                <w:rFonts w:ascii="TH Sarabun New" w:hAnsi="TH Sarabun New" w:cs="TH Sarabun New"/>
                <w:sz w:val="30"/>
                <w:szCs w:val="30"/>
                <w:b/>
                <w:bCs/>
              </w:rPr>
              <w:t xml:space="preserve">ประเภท</w:t>
            </w:r>
          </w:p>
        </w:tc>
        <w:tc>
          <w:tcPr>
            <w:tcW w:type="dxa" w:w="2769"/>
          </w:tcPr>
          <w:p>
            <w:pPr>
              <w:spacing w:after="40" w:before="0"/>
              <w:jc w:val="left"/>
            </w:pPr>
            <w:r>
              <w:rPr>
                <w:rFonts w:ascii="TH Sarabun New" w:hAnsi="TH Sarabun New" w:cs="TH Sarabun New"/>
                <w:sz w:val="30"/>
                <w:szCs w:val="30"/>
                <w:b/>
                <w:bCs/>
              </w:rPr>
              <w:t xml:space="preserve">ย้ายไปเป็น / กลไก</w:t>
            </w:r>
          </w:p>
        </w:tc>
      </w:tr>
      <w:tr>
        <w:tc>
          <w:tcPr>
            <w:tcW w:type="dxa" w:w="2769"/>
          </w:tcPr>
          <w:p>
            <w:pPr>
              <w:spacing w:after="40" w:before="0"/>
              <w:jc w:val="left"/>
            </w:pPr>
            <w:r>
              <w:rPr>
                <w:rFonts w:ascii="TH Sarabun New" w:hAnsi="TH Sarabun New" w:cs="TH Sarabun New"/>
                <w:sz w:val="30"/>
                <w:szCs w:val="30"/>
              </w:rPr>
              <w:t xml:space="preserve">ตั๋วแยกส่วน ไม่มี Fare Capping</w:t>
            </w:r>
          </w:p>
        </w:tc>
        <w:tc>
          <w:tcPr>
            <w:tcW w:type="dxa" w:w="2769"/>
          </w:tcPr>
          <w:p>
            <w:pPr>
              <w:spacing w:after="40" w:before="0"/>
              <w:jc w:val="left"/>
            </w:pPr>
            <w:r>
              <w:rPr>
                <w:rFonts w:ascii="TH Sarabun New" w:hAnsi="TH Sarabun New" w:cs="TH Sarabun New"/>
                <w:sz w:val="30"/>
                <w:szCs w:val="30"/>
              </w:rPr>
              <w:t xml:space="preserve">W</w:t>
            </w:r>
          </w:p>
        </w:tc>
        <w:tc>
          <w:tcPr>
            <w:tcW w:type="dxa" w:w="2769"/>
          </w:tcPr>
          <w:p>
            <w:pPr>
              <w:spacing w:after="40" w:before="0"/>
              <w:jc w:val="left"/>
            </w:pPr>
            <w:r>
              <w:rPr>
                <w:rFonts w:ascii="TH Sarabun New" w:hAnsi="TH Sarabun New" w:cs="TH Sarabun New"/>
                <w:sz w:val="30"/>
                <w:szCs w:val="30"/>
              </w:rPr>
              <w:t xml:space="preserve">Aspiration A2 (single-tap) → Result R4 · ทำผ่าน L1/L2</w:t>
            </w:r>
          </w:p>
        </w:tc>
      </w:tr>
      <w:tr>
        <w:tc>
          <w:tcPr>
            <w:tcW w:type="dxa" w:w="2769"/>
          </w:tcPr>
          <w:p>
            <w:pPr>
              <w:spacing w:after="40" w:before="0"/>
              <w:jc w:val="left"/>
            </w:pPr>
            <w:r>
              <w:rPr>
                <w:rFonts w:ascii="TH Sarabun New" w:hAnsi="TH Sarabun New" w:cs="TH Sarabun New"/>
                <w:sz w:val="30"/>
                <w:szCs w:val="30"/>
              </w:rPr>
              <w:t xml:space="preserve">First/Last Mile อ่อนแอ</w:t>
            </w:r>
          </w:p>
        </w:tc>
        <w:tc>
          <w:tcPr>
            <w:tcW w:type="dxa" w:w="2769"/>
          </w:tcPr>
          <w:p>
            <w:pPr>
              <w:spacing w:after="40" w:before="0"/>
              <w:jc w:val="left"/>
            </w:pPr>
            <w:r>
              <w:rPr>
                <w:rFonts w:ascii="TH Sarabun New" w:hAnsi="TH Sarabun New" w:cs="TH Sarabun New"/>
                <w:sz w:val="30"/>
                <w:szCs w:val="30"/>
              </w:rPr>
              <w:t xml:space="preserve">W</w:t>
            </w:r>
          </w:p>
        </w:tc>
        <w:tc>
          <w:tcPr>
            <w:tcW w:type="dxa" w:w="2769"/>
          </w:tcPr>
          <w:p>
            <w:pPr>
              <w:spacing w:after="40" w:before="0"/>
              <w:jc w:val="left"/>
            </w:pPr>
            <w:r>
              <w:rPr>
                <w:rFonts w:ascii="TH Sarabun New" w:hAnsi="TH Sarabun New" w:cs="TH Sarabun New"/>
                <w:sz w:val="30"/>
                <w:szCs w:val="30"/>
              </w:rPr>
              <w:t xml:space="preserve">Aspiration A3 → Result R5 · ทำผ่าน L4</w:t>
            </w:r>
          </w:p>
        </w:tc>
      </w:tr>
      <w:tr>
        <w:tc>
          <w:tcPr>
            <w:tcW w:type="dxa" w:w="2769"/>
          </w:tcPr>
          <w:p>
            <w:pPr>
              <w:spacing w:after="40" w:before="0"/>
              <w:jc w:val="left"/>
            </w:pPr>
            <w:r>
              <w:rPr>
                <w:rFonts w:ascii="TH Sarabun New" w:hAnsi="TH Sarabun New" w:cs="TH Sarabun New"/>
                <w:sz w:val="30"/>
                <w:szCs w:val="30"/>
              </w:rPr>
              <w:t xml:space="preserve">ขาดหน่วยงานกลางที่เป็นกลาง</w:t>
            </w:r>
          </w:p>
        </w:tc>
        <w:tc>
          <w:tcPr>
            <w:tcW w:type="dxa" w:w="2769"/>
          </w:tcPr>
          <w:p>
            <w:pPr>
              <w:spacing w:after="40" w:before="0"/>
              <w:jc w:val="left"/>
            </w:pPr>
            <w:r>
              <w:rPr>
                <w:rFonts w:ascii="TH Sarabun New" w:hAnsi="TH Sarabun New" w:cs="TH Sarabun New"/>
                <w:sz w:val="30"/>
                <w:szCs w:val="30"/>
              </w:rPr>
              <w:t xml:space="preserve">W</w:t>
            </w:r>
          </w:p>
        </w:tc>
        <w:tc>
          <w:tcPr>
            <w:tcW w:type="dxa" w:w="2769"/>
          </w:tcPr>
          <w:p>
            <w:pPr>
              <w:spacing w:after="40" w:before="0"/>
              <w:jc w:val="left"/>
            </w:pPr>
            <w:r>
              <w:rPr>
                <w:rFonts w:ascii="TH Sarabun New" w:hAnsi="TH Sarabun New" w:cs="TH Sarabun New"/>
                <w:sz w:val="30"/>
                <w:szCs w:val="30"/>
              </w:rPr>
              <w:t xml:space="preserve">Opportunity O6 (ใช้อำนาจ พ.ร.บ. ตั้ง NTCH) + Risk (ธรรมาภิบาล)</w:t>
            </w:r>
          </w:p>
        </w:tc>
      </w:tr>
      <w:tr>
        <w:tc>
          <w:tcPr>
            <w:tcW w:type="dxa" w:w="2769"/>
          </w:tcPr>
          <w:p>
            <w:pPr>
              <w:spacing w:after="40" w:before="0"/>
              <w:jc w:val="left"/>
            </w:pPr>
            <w:r>
              <w:rPr>
                <w:rFonts w:ascii="TH Sarabun New" w:hAnsi="TH Sarabun New" w:cs="TH Sarabun New"/>
                <w:sz w:val="30"/>
                <w:szCs w:val="30"/>
              </w:rPr>
              <w:t xml:space="preserve">ขาดบุคลากรเชี่ยวชาญ MaaS</w:t>
            </w:r>
          </w:p>
        </w:tc>
        <w:tc>
          <w:tcPr>
            <w:tcW w:type="dxa" w:w="2769"/>
          </w:tcPr>
          <w:p>
            <w:pPr>
              <w:spacing w:after="40" w:before="0"/>
              <w:jc w:val="left"/>
            </w:pPr>
            <w:r>
              <w:rPr>
                <w:rFonts w:ascii="TH Sarabun New" w:hAnsi="TH Sarabun New" w:cs="TH Sarabun New"/>
                <w:sz w:val="30"/>
                <w:szCs w:val="30"/>
              </w:rPr>
              <w:t xml:space="preserve">W</w:t>
            </w:r>
          </w:p>
        </w:tc>
        <w:tc>
          <w:tcPr>
            <w:tcW w:type="dxa" w:w="2769"/>
          </w:tcPr>
          <w:p>
            <w:pPr>
              <w:spacing w:after="40" w:before="0"/>
              <w:jc w:val="left"/>
            </w:pPr>
            <w:r>
              <w:rPr>
                <w:rFonts w:ascii="TH Sarabun New" w:hAnsi="TH Sarabun New" w:cs="TH Sarabun New"/>
                <w:sz w:val="30"/>
                <w:szCs w:val="30"/>
              </w:rPr>
              <w:t xml:space="preserve">Aspiration (capacity) → Result R9 · L4 (7S: Staff/Skills)</w:t>
            </w:r>
          </w:p>
        </w:tc>
      </w:tr>
      <w:tr>
        <w:tc>
          <w:tcPr>
            <w:tcW w:type="dxa" w:w="2769"/>
          </w:tcPr>
          <w:p>
            <w:pPr>
              <w:spacing w:after="40" w:before="0"/>
              <w:jc w:val="left"/>
            </w:pPr>
            <w:r>
              <w:rPr>
                <w:rFonts w:ascii="TH Sarabun New" w:hAnsi="TH Sarabun New" w:cs="TH Sarabun New"/>
                <w:sz w:val="30"/>
                <w:szCs w:val="30"/>
              </w:rPr>
              <w:t xml:space="preserve">ข้อมูลไม่เปิด/ไม่เป็นมาตรฐาน</w:t>
            </w:r>
          </w:p>
        </w:tc>
        <w:tc>
          <w:tcPr>
            <w:tcW w:type="dxa" w:w="2769"/>
          </w:tcPr>
          <w:p>
            <w:pPr>
              <w:spacing w:after="40" w:before="0"/>
              <w:jc w:val="left"/>
            </w:pPr>
            <w:r>
              <w:rPr>
                <w:rFonts w:ascii="TH Sarabun New" w:hAnsi="TH Sarabun New" w:cs="TH Sarabun New"/>
                <w:sz w:val="30"/>
                <w:szCs w:val="30"/>
              </w:rPr>
              <w:t xml:space="preserve">W</w:t>
            </w:r>
          </w:p>
        </w:tc>
        <w:tc>
          <w:tcPr>
            <w:tcW w:type="dxa" w:w="2769"/>
          </w:tcPr>
          <w:p>
            <w:pPr>
              <w:spacing w:after="40" w:before="0"/>
              <w:jc w:val="left"/>
            </w:pPr>
            <w:r>
              <w:rPr>
                <w:rFonts w:ascii="TH Sarabun New" w:hAnsi="TH Sarabun New" w:cs="TH Sarabun New"/>
                <w:sz w:val="30"/>
                <w:szCs w:val="30"/>
              </w:rPr>
              <w:t xml:space="preserve">Opportunity O6 (Open API กฎหมายลูก) + Risk (ความมั่นคงข้อมูล)</w:t>
            </w:r>
          </w:p>
        </w:tc>
      </w:tr>
      <w:tr>
        <w:tc>
          <w:tcPr>
            <w:tcW w:type="dxa" w:w="2769"/>
          </w:tcPr>
          <w:p>
            <w:pPr>
              <w:spacing w:after="40" w:before="0"/>
              <w:jc w:val="left"/>
            </w:pPr>
            <w:r>
              <w:rPr>
                <w:rFonts w:ascii="TH Sarabun New" w:hAnsi="TH Sarabun New" w:cs="TH Sarabun New"/>
                <w:sz w:val="30"/>
                <w:szCs w:val="30"/>
              </w:rPr>
              <w:t xml:space="preserve">ผลประโยชน์ทับซ้อนผู้ให้บริการเดิม</w:t>
            </w:r>
          </w:p>
        </w:tc>
        <w:tc>
          <w:tcPr>
            <w:tcW w:type="dxa" w:w="2769"/>
          </w:tcPr>
          <w:p>
            <w:pPr>
              <w:spacing w:after="40" w:before="0"/>
              <w:jc w:val="left"/>
            </w:pPr>
            <w:r>
              <w:rPr>
                <w:rFonts w:ascii="TH Sarabun New" w:hAnsi="TH Sarabun New" w:cs="TH Sarabun New"/>
                <w:sz w:val="30"/>
                <w:szCs w:val="30"/>
              </w:rPr>
              <w:t xml:space="preserve">T</w:t>
            </w:r>
          </w:p>
        </w:tc>
        <w:tc>
          <w:tcPr>
            <w:tcW w:type="dxa" w:w="2769"/>
          </w:tcPr>
          <w:p>
            <w:pPr>
              <w:spacing w:after="40" w:before="0"/>
              <w:jc w:val="left"/>
            </w:pPr>
            <w:r>
              <w:rPr>
                <w:rFonts w:ascii="TH Sarabun New" w:hAnsi="TH Sarabun New" w:cs="TH Sarabun New"/>
                <w:sz w:val="30"/>
                <w:szCs w:val="30"/>
              </w:rPr>
              <w:t xml:space="preserve">Opportunity O6 (บังคับเข้าระบบ/ร่วมถือหุ้น NTCH)</w:t>
            </w:r>
          </w:p>
        </w:tc>
      </w:tr>
      <w:tr>
        <w:tc>
          <w:tcPr>
            <w:tcW w:type="dxa" w:w="2769"/>
          </w:tcPr>
          <w:p>
            <w:pPr>
              <w:spacing w:after="40" w:before="0"/>
              <w:jc w:val="left"/>
            </w:pPr>
            <w:r>
              <w:rPr>
                <w:rFonts w:ascii="TH Sarabun New" w:hAnsi="TH Sarabun New" w:cs="TH Sarabun New"/>
                <w:sz w:val="30"/>
                <w:szCs w:val="30"/>
              </w:rPr>
              <w:t xml:space="preserve">ความไม่ต่อเนื่องเชิงนโยบาย</w:t>
            </w:r>
          </w:p>
        </w:tc>
        <w:tc>
          <w:tcPr>
            <w:tcW w:type="dxa" w:w="2769"/>
          </w:tcPr>
          <w:p>
            <w:pPr>
              <w:spacing w:after="40" w:before="0"/>
              <w:jc w:val="left"/>
            </w:pPr>
            <w:r>
              <w:rPr>
                <w:rFonts w:ascii="TH Sarabun New" w:hAnsi="TH Sarabun New" w:cs="TH Sarabun New"/>
                <w:sz w:val="30"/>
                <w:szCs w:val="30"/>
              </w:rPr>
              <w:t xml:space="preserve">T</w:t>
            </w:r>
          </w:p>
        </w:tc>
        <w:tc>
          <w:tcPr>
            <w:tcW w:type="dxa" w:w="2769"/>
          </w:tcPr>
          <w:p>
            <w:pPr>
              <w:spacing w:after="40" w:before="0"/>
              <w:jc w:val="left"/>
            </w:pPr>
            <w:r>
              <w:rPr>
                <w:rFonts w:ascii="TH Sarabun New" w:hAnsi="TH Sarabun New" w:cs="TH Sarabun New"/>
                <w:sz w:val="30"/>
                <w:szCs w:val="30"/>
              </w:rPr>
              <w:t xml:space="preserve">Risk &amp; Change Management (กฎหมาย + งบผูกพัน)</w:t>
            </w:r>
          </w:p>
        </w:tc>
      </w:tr>
      <w:tr>
        <w:tc>
          <w:tcPr>
            <w:tcW w:type="dxa" w:w="2769"/>
          </w:tcPr>
          <w:p>
            <w:pPr>
              <w:spacing w:after="40" w:before="0"/>
              <w:jc w:val="left"/>
            </w:pPr>
            <w:r>
              <w:rPr>
                <w:rFonts w:ascii="TH Sarabun New" w:hAnsi="TH Sarabun New" w:cs="TH Sarabun New"/>
                <w:sz w:val="30"/>
                <w:szCs w:val="30"/>
              </w:rPr>
              <w:t xml:space="preserve">ความเสี่ยงข้อมูลส่วนบุคคล/ไซเบอร์</w:t>
            </w:r>
          </w:p>
        </w:tc>
        <w:tc>
          <w:tcPr>
            <w:tcW w:type="dxa" w:w="2769"/>
          </w:tcPr>
          <w:p>
            <w:pPr>
              <w:spacing w:after="40" w:before="0"/>
              <w:jc w:val="left"/>
            </w:pPr>
            <w:r>
              <w:rPr>
                <w:rFonts w:ascii="TH Sarabun New" w:hAnsi="TH Sarabun New" w:cs="TH Sarabun New"/>
                <w:sz w:val="30"/>
                <w:szCs w:val="30"/>
              </w:rPr>
              <w:t xml:space="preserve">T</w:t>
            </w:r>
          </w:p>
        </w:tc>
        <w:tc>
          <w:tcPr>
            <w:tcW w:type="dxa" w:w="2769"/>
          </w:tcPr>
          <w:p>
            <w:pPr>
              <w:spacing w:after="40" w:before="0"/>
              <w:jc w:val="left"/>
            </w:pPr>
            <w:r>
              <w:rPr>
                <w:rFonts w:ascii="TH Sarabun New" w:hAnsi="TH Sarabun New" w:cs="TH Sarabun New"/>
                <w:sz w:val="30"/>
                <w:szCs w:val="30"/>
              </w:rPr>
              <w:t xml:space="preserve">Risk &amp; Change Management (Privacy by Design · DPO · PDPA/พ.ร.บ.ไซเบอร์)</w:t>
            </w:r>
          </w:p>
        </w:tc>
      </w:tr>
      <w:tr>
        <w:tc>
          <w:tcPr>
            <w:tcW w:type="dxa" w:w="2769"/>
          </w:tcPr>
          <w:p>
            <w:pPr>
              <w:spacing w:after="40" w:before="0"/>
              <w:jc w:val="left"/>
            </w:pPr>
            <w:r>
              <w:rPr>
                <w:rFonts w:ascii="TH Sarabun New" w:hAnsi="TH Sarabun New" w:cs="TH Sarabun New"/>
                <w:sz w:val="30"/>
                <w:szCs w:val="30"/>
              </w:rPr>
              <w:t xml:space="preserve">ความเสี่ยงภูมิอากาศพื้นที่ลุ่ม</w:t>
            </w:r>
          </w:p>
        </w:tc>
        <w:tc>
          <w:tcPr>
            <w:tcW w:type="dxa" w:w="2769"/>
          </w:tcPr>
          <w:p>
            <w:pPr>
              <w:spacing w:after="40" w:before="0"/>
              <w:jc w:val="left"/>
            </w:pPr>
            <w:r>
              <w:rPr>
                <w:rFonts w:ascii="TH Sarabun New" w:hAnsi="TH Sarabun New" w:cs="TH Sarabun New"/>
                <w:sz w:val="30"/>
                <w:szCs w:val="30"/>
              </w:rPr>
              <w:t xml:space="preserve">T</w:t>
            </w:r>
          </w:p>
        </w:tc>
        <w:tc>
          <w:tcPr>
            <w:tcW w:type="dxa" w:w="2769"/>
          </w:tcPr>
          <w:p>
            <w:pPr>
              <w:spacing w:after="40" w:before="0"/>
              <w:jc w:val="left"/>
            </w:pPr>
            <w:r>
              <w:rPr>
                <w:rFonts w:ascii="TH Sarabun New" w:hAnsi="TH Sarabun New" w:cs="TH Sarabun New"/>
                <w:sz w:val="30"/>
                <w:szCs w:val="30"/>
              </w:rPr>
              <w:t xml:space="preserve">Opportunity O7 (climate-resilient ต้นแบบ) + Risk</w:t>
            </w:r>
          </w:p>
        </w:tc>
      </w:tr>
    </w:tbl>
    <w:p>
      <w:pPr>
        <w:keepNext/>
        <w:spacing w:before="200" w:after="80" w:line="240" w:lineRule="auto"/>
      </w:pPr>
      <w:r>
        <w:rPr>
          <w:rFonts w:ascii="TH Sarabun New" w:hAnsi="TH Sarabun New" w:cs="TH Sarabun New" w:eastAsia="TH Sarabun New"/>
          <w:b/>
          <w:i w:val="0"/>
          <w:color w:val="1F3D6E"/>
          <w:sz w:val="32"/>
          <w:szCs w:val="32"/>
        </w:rPr>
        <w:t>2. SOAR Strategy Matrix (จุดแข็ง × โอกาส → กลยุทธ์เชิงรุก)</w:t>
      </w:r>
    </w:p>
    <w:p>
      <w:pPr>
        <w:keepNext/>
        <w:spacing w:before="160" w:after="40"/>
        <w:jc w:val="center"/>
      </w:pPr>
      <w:r>
        <w:rPr>
          <w:rFonts w:ascii="TH Sarabun New" w:hAnsi="TH Sarabun New" w:cs="TH Sarabun New" w:eastAsia="TH Sarabun New"/>
          <w:b/>
          <w:i w:val="0"/>
          <w:sz w:val="28"/>
          <w:szCs w:val="28"/>
        </w:rPr>
        <w:t>ตาราง ข-1  SOAR Strategy Matrix (กลยุทธ์เชิงรุก Leverage S×O)</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1701"/>
            <w:vAlign w:val="center"/>
            <w:shd w:val="clear" w:color="auto" w:fill="1F4E79"/>
          </w:tcPr>
          <w:p>
            <w:pPr>
              <w:spacing w:after="40" w:before="0"/>
              <w:jc w:val="left"/>
            </w:pPr>
            <w:r>
              <w:rPr>
                <w:rFonts w:ascii="TH Sarabun New" w:hAnsi="TH Sarabun New" w:cs="TH Sarabun New"/>
                <w:sz w:val="30"/>
                <w:szCs w:val="30"/>
                <w:b/>
                <w:bCs/>
              </w:rPr>
              <w:t xml:space="preserve">กลยุทธ์เชิงรุก (Leverage S×O)</w:t>
            </w:r>
          </w:p>
        </w:tc>
        <w:tc>
          <w:tcPr>
            <w:tcW w:type="dxa" w:w="6520"/>
            <w:vAlign w:val="center"/>
            <w:shd w:val="clear" w:color="auto" w:fill="1F4E79"/>
          </w:tcPr>
          <w:p>
            <w:pPr>
              <w:spacing w:after="40" w:before="0"/>
              <w:jc w:val="left"/>
            </w:pPr>
            <w:r>
              <w:rPr>
                <w:rFonts w:ascii="TH Sarabun New" w:hAnsi="TH Sarabun New" w:cs="TH Sarabun New"/>
                <w:sz w:val="30"/>
                <w:szCs w:val="30"/>
                <w:b/>
                <w:bCs/>
              </w:rPr>
              <w:t xml:space="preserve">แนวทาง → Aspiration → Results</w:t>
            </w:r>
          </w:p>
        </w:tc>
      </w:tr>
      <w:tr>
        <w:trPr>
          <w:cantSplit/>
        </w:trPr>
        <w:tc>
          <w:tcPr>
            <w:tcW w:type="dxa" w:w="1701"/>
            <w:vAlign w:val="top"/>
          </w:tcPr>
          <w:p>
            <w:pPr>
              <w:spacing w:after="40" w:before="0"/>
              <w:jc w:val="left"/>
            </w:pPr>
            <w:r>
              <w:rPr>
                <w:rFonts w:ascii="TH Sarabun New" w:hAnsi="TH Sarabun New" w:cs="TH Sarabun New"/>
                <w:sz w:val="30"/>
                <w:szCs w:val="30"/>
              </w:rPr>
              <w:t xml:space="preserve">L1 — S1×O1,O2</w:t>
            </w:r>
          </w:p>
        </w:tc>
        <w:tc>
          <w:tcPr>
            <w:tcW w:type="dxa" w:w="6520"/>
            <w:vAlign w:val="top"/>
          </w:tcPr>
          <w:p>
            <w:pPr>
              <w:spacing w:after="40" w:before="0"/>
              <w:jc w:val="left"/>
            </w:pPr>
            <w:r>
              <w:rPr>
                <w:rFonts w:ascii="TH Sarabun New" w:hAnsi="TH Sarabun New" w:cs="TH Sarabun New"/>
                <w:sz w:val="30"/>
                <w:szCs w:val="30"/>
              </w:rPr>
              <w:t xml:space="preserve">ใช้โครงข่ายราง + EMV/บทเรียนโลก: เร่ง EMV/ABT migration + เปิด MaaS App Beta (public-led) ที่สำโรง–เคหะฯ → A1,A2 → EMV ≥80%, NPS +40%</w:t>
            </w:r>
          </w:p>
        </w:tc>
      </w:tr>
      <w:tr>
        <w:trPr>
          <w:cantSplit/>
        </w:trPr>
        <w:tc>
          <w:tcPr>
            <w:tcW w:type="dxa" w:w="1701"/>
            <w:vAlign w:val="top"/>
          </w:tcPr>
          <w:p>
            <w:pPr>
              <w:spacing w:after="40" w:before="0"/>
              <w:jc w:val="left"/>
            </w:pPr>
            <w:r>
              <w:rPr>
                <w:rFonts w:ascii="TH Sarabun New" w:hAnsi="TH Sarabun New" w:cs="TH Sarabun New"/>
                <w:sz w:val="30"/>
                <w:szCs w:val="30"/>
              </w:rPr>
              <w:t xml:space="preserve">L2 — S3×O6</w:t>
            </w:r>
          </w:p>
        </w:tc>
        <w:tc>
          <w:tcPr>
            <w:tcW w:type="dxa" w:w="6520"/>
            <w:vAlign w:val="top"/>
          </w:tcPr>
          <w:p>
            <w:pPr>
              <w:spacing w:after="40" w:before="0"/>
              <w:jc w:val="left"/>
            </w:pPr>
            <w:r>
              <w:rPr>
                <w:rFonts w:ascii="TH Sarabun New" w:hAnsi="TH Sarabun New" w:cs="TH Sarabun New"/>
                <w:sz w:val="30"/>
                <w:szCs w:val="30"/>
              </w:rPr>
              <w:t>ใช้อำนาจกฎหมาย + reframe Open API: ออกกฎหมายลูกบังคับ Open API/มาตรฐานกลาง + จัดตั้ง NTCH → A2 → ตั๋วร่วม ≥80%, ลดต้นทุนรับชำระจาก 15% เหลือ 9% ของรายได้</w:t>
            </w:r>
          </w:p>
        </w:tc>
      </w:tr>
      <w:tr>
        <w:trPr>
          <w:cantSplit/>
        </w:trPr>
        <w:tc>
          <w:tcPr>
            <w:tcW w:type="dxa" w:w="1701"/>
            <w:vAlign w:val="top"/>
          </w:tcPr>
          <w:p>
            <w:pPr>
              <w:spacing w:after="40" w:before="0"/>
              <w:jc w:val="left"/>
            </w:pPr>
            <w:r>
              <w:rPr>
                <w:rFonts w:ascii="TH Sarabun New" w:hAnsi="TH Sarabun New" w:cs="TH Sarabun New"/>
                <w:sz w:val="30"/>
                <w:szCs w:val="30"/>
              </w:rPr>
              <w:t xml:space="preserve">L3 — S2×O3</w:t>
            </w:r>
          </w:p>
        </w:tc>
        <w:tc>
          <w:tcPr>
            <w:tcW w:type="dxa" w:w="6520"/>
            <w:vAlign w:val="top"/>
          </w:tcPr>
          <w:p>
            <w:pPr>
              <w:spacing w:after="40" w:before="0"/>
              <w:jc w:val="left"/>
            </w:pPr>
            <w:r>
              <w:rPr>
                <w:rFonts w:ascii="TH Sarabun New" w:hAnsi="TH Sarabun New" w:cs="TH Sarabun New"/>
                <w:sz w:val="30"/>
                <w:szCs w:val="30"/>
              </w:rPr>
              <w:t xml:space="preserve">ใช้ดิจิทัลพร้อม + Net-Zero: Feeder EV + บัตรประชาชน/ThaID + มาตรการภาษีจูงใจ → A3,A4 → Modal +20%, CO₂ -30%</w:t>
            </w:r>
          </w:p>
        </w:tc>
      </w:tr>
      <w:tr>
        <w:trPr>
          <w:cantSplit/>
        </w:trPr>
        <w:tc>
          <w:tcPr>
            <w:tcW w:type="dxa" w:w="1701"/>
            <w:vAlign w:val="top"/>
          </w:tcPr>
          <w:p>
            <w:pPr>
              <w:spacing w:after="40" w:before="0"/>
              <w:jc w:val="left"/>
            </w:pPr>
            <w:r>
              <w:rPr>
                <w:rFonts w:ascii="TH Sarabun New" w:hAnsi="TH Sarabun New" w:cs="TH Sarabun New"/>
                <w:sz w:val="30"/>
                <w:szCs w:val="30"/>
              </w:rPr>
              <w:t xml:space="preserve">L4 — S4×O5,O7</w:t>
            </w:r>
          </w:p>
        </w:tc>
        <w:tc>
          <w:tcPr>
            <w:tcW w:type="dxa" w:w="6520"/>
            <w:vAlign w:val="top"/>
          </w:tcPr>
          <w:p>
            <w:pPr>
              <w:spacing w:after="40" w:before="0"/>
              <w:jc w:val="left"/>
            </w:pPr>
            <w:r>
              <w:rPr>
                <w:rFonts w:ascii="TH Sarabun New" w:hAnsi="TH Sarabun New" w:cs="TH Sarabun New"/>
                <w:sz w:val="30"/>
                <w:szCs w:val="30"/>
              </w:rPr>
              <w:t xml:space="preserve">ใช้หน่วยงาน/เอกชน + ความร่วมมือ + climate: Complete Streets + climate-resilient + พัฒนาบุคลากรร่วม TfL/BVG → A3,A4 → First/Last ≤10น, อุบัติเหตุ -40%</w:t>
            </w:r>
          </w:p>
        </w:tc>
      </w:tr>
      <w:tr>
        <w:tc>
          <w:tcPr>
            <w:tcW w:type="dxa" w:w="4153"/>
          </w:tcPr>
          <w:p>
            <w:pPr>
              <w:spacing w:after="40" w:before="0"/>
              <w:jc w:val="left"/>
            </w:pPr>
            <w:r>
              <w:rPr>
                <w:rFonts w:ascii="TH Sarabun New" w:hAnsi="TH Sarabun New" w:cs="TH Sarabun New"/>
                <w:sz w:val="30"/>
                <w:szCs w:val="30"/>
              </w:rPr>
              <w:t xml:space="preserve">L5 — Aspiration→Scale</w:t>
            </w:r>
          </w:p>
        </w:tc>
        <w:tc>
          <w:tcPr>
            <w:tcW w:type="dxa" w:w="4153"/>
          </w:tcPr>
          <w:p>
            <w:pPr>
              <w:spacing w:after="40" w:before="0"/>
              <w:jc w:val="left"/>
            </w:pPr>
            <w:r>
              <w:rPr>
                <w:rFonts w:ascii="TH Sarabun New" w:hAnsi="TH Sarabun New" w:cs="TH Sarabun New"/>
                <w:sz w:val="30"/>
                <w:szCs w:val="30"/>
              </w:rPr>
              <w:t xml:space="preserve">บรรจุเป้าหมายในกฎหมาย + งบผูกพัน แล้วขยายผลทั่วประเทศ → A5 → BCR 8–12, ขยาย 4 จังหวัด</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เพื่อให้ SOAR Strategy Matrix นำไปสู่การปฏิบัติได้จริง คณะผู้จัดทำแปลงแต่ละกลุ่มกลยุทธ์เป็นการดำเนินการที่เป็นรูปธรรม พร้อมระบุเจ้าภาพและกรอบเวลา ดังตาราง</w:t>
      </w:r>
    </w:p>
    <w:p>
      <w:pPr>
        <w:keepNext/>
        <w:spacing w:before="160" w:after="40"/>
        <w:jc w:val="center"/>
      </w:pPr>
      <w:r>
        <w:rPr>
          <w:rFonts w:ascii="TH Sarabun New" w:hAnsi="TH Sarabun New" w:cs="TH Sarabun New" w:eastAsia="TH Sarabun New"/>
          <w:b/>
          <w:i w:val="0"/>
          <w:sz w:val="28"/>
          <w:szCs w:val="28"/>
        </w:rPr>
        <w:t>ตาราง ข-3  แผนปฏิบัติจาก SOAR Strategy Matrix (เจ้าภาพ + กรอบเวลา)</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076"/>
        <w:gridCol w:w="2076"/>
        <w:gridCol w:w="2076"/>
        <w:gridCol w:w="2076"/>
      </w:tblGrid>
      <w:tr>
        <w:tc>
          <w:tcPr>
            <w:tcW w:type="dxa" w:w="1474"/>
            <w:vAlign w:val="center"/>
            <w:shd w:val="clear" w:color="auto" w:fill="1F4E79"/>
          </w:tcPr>
          <w:p>
            <w:pPr>
              <w:spacing w:after="40" w:before="0"/>
              <w:jc w:val="left"/>
            </w:pPr>
            <w:r>
              <w:rPr>
                <w:rFonts w:ascii="TH Sarabun New" w:hAnsi="TH Sarabun New" w:cs="TH Sarabun New"/>
                <w:sz w:val="30"/>
                <w:szCs w:val="30"/>
                <w:b/>
                <w:bCs/>
              </w:rPr>
              <w:t xml:space="preserve">กลยุทธ์ (SOAR)</w:t>
            </w:r>
          </w:p>
        </w:tc>
        <w:tc>
          <w:tcPr>
            <w:tcW w:type="dxa" w:w="3969"/>
            <w:vAlign w:val="center"/>
            <w:shd w:val="clear" w:color="auto" w:fill="1F4E79"/>
          </w:tcPr>
          <w:p>
            <w:pPr>
              <w:spacing w:after="40" w:before="0"/>
              <w:jc w:val="left"/>
            </w:pPr>
            <w:r>
              <w:rPr>
                <w:rFonts w:ascii="TH Sarabun New" w:hAnsi="TH Sarabun New" w:cs="TH Sarabun New"/>
                <w:sz w:val="30"/>
                <w:szCs w:val="30"/>
                <w:b/>
                <w:bCs/>
              </w:rPr>
              <w:t xml:space="preserve">การดำเนินการที่เป็นรูปธรรม</w:t>
            </w:r>
          </w:p>
        </w:tc>
        <w:tc>
          <w:tcPr>
            <w:tcW w:type="dxa" w:w="1531"/>
            <w:vAlign w:val="center"/>
            <w:shd w:val="clear" w:color="auto" w:fill="1F4E79"/>
          </w:tcPr>
          <w:p>
            <w:pPr>
              <w:spacing w:after="40" w:before="0"/>
              <w:jc w:val="left"/>
            </w:pPr>
            <w:r>
              <w:rPr>
                <w:rFonts w:ascii="TH Sarabun New" w:hAnsi="TH Sarabun New" w:cs="TH Sarabun New"/>
                <w:sz w:val="30"/>
                <w:szCs w:val="30"/>
                <w:b/>
                <w:bCs/>
              </w:rPr>
              <w:t xml:space="preserve">เจ้าภาพ</w:t>
            </w:r>
          </w:p>
        </w:tc>
        <w:tc>
          <w:tcPr>
            <w:tcW w:type="dxa" w:w="1247"/>
            <w:vAlign w:val="center"/>
            <w:shd w:val="clear" w:color="auto" w:fill="1F4E79"/>
          </w:tcPr>
          <w:p>
            <w:pPr>
              <w:spacing w:after="40" w:before="0"/>
              <w:jc w:val="left"/>
            </w:pPr>
            <w:r>
              <w:rPr>
                <w:rFonts w:ascii="TH Sarabun New" w:hAnsi="TH Sarabun New" w:cs="TH Sarabun New"/>
                <w:sz w:val="30"/>
                <w:szCs w:val="30"/>
                <w:b/>
                <w:bCs/>
              </w:rPr>
              <w:t xml:space="preserve">กรอบเวลา</w:t>
            </w:r>
          </w:p>
        </w:tc>
      </w:tr>
      <w:tr>
        <w:trPr>
          <w:cantSplit/>
        </w:trPr>
        <w:tc>
          <w:tcPr>
            <w:tcW w:type="dxa" w:w="1474"/>
            <w:vAlign w:val="top"/>
          </w:tcPr>
          <w:p>
            <w:pPr>
              <w:spacing w:after="40" w:before="0"/>
              <w:jc w:val="left"/>
            </w:pPr>
            <w:r>
              <w:rPr>
                <w:rFonts w:ascii="TH Sarabun New" w:hAnsi="TH Sarabun New" w:cs="TH Sarabun New"/>
                <w:sz w:val="30"/>
                <w:szCs w:val="30"/>
              </w:rPr>
              <w:t xml:space="preserve">L1 — รุก</w:t>
            </w:r>
          </w:p>
        </w:tc>
        <w:tc>
          <w:tcPr>
            <w:tcW w:type="dxa" w:w="3969"/>
            <w:vAlign w:val="top"/>
          </w:tcPr>
          <w:p>
            <w:pPr>
              <w:spacing w:after="40" w:before="0"/>
              <w:jc w:val="left"/>
            </w:pPr>
            <w:r>
              <w:rPr>
                <w:rFonts w:ascii="TH Sarabun New" w:hAnsi="TH Sarabun New" w:cs="TH Sarabun New"/>
                <w:sz w:val="30"/>
                <w:szCs w:val="30"/>
              </w:rPr>
              <w:t xml:space="preserve">เร่ง EMV/ABT migration + เปิด MaaS App Beta (public-led) ที่สำโรง</w:t>
            </w:r>
          </w:p>
        </w:tc>
        <w:tc>
          <w:tcPr>
            <w:tcW w:type="dxa" w:w="1531"/>
            <w:vAlign w:val="top"/>
          </w:tcPr>
          <w:p>
            <w:pPr>
              <w:spacing w:after="40" w:before="0"/>
              <w:jc w:val="left"/>
            </w:pPr>
            <w:r>
              <w:rPr>
                <w:rFonts w:ascii="TH Sarabun New" w:hAnsi="TH Sarabun New" w:cs="TH Sarabun New"/>
                <w:sz w:val="30"/>
                <w:szCs w:val="30"/>
              </w:rPr>
              <w:t xml:space="preserve">สนข./กรมราง</w:t>
            </w:r>
          </w:p>
        </w:tc>
        <w:tc>
          <w:tcPr>
            <w:tcW w:type="dxa" w:w="1247"/>
            <w:vAlign w:val="top"/>
          </w:tcPr>
          <w:p>
            <w:pPr>
              <w:spacing w:after="40" w:before="0"/>
              <w:jc w:val="left"/>
            </w:pPr>
            <w:r>
              <w:rPr>
                <w:rFonts w:ascii="TH Sarabun New" w:hAnsi="TH Sarabun New" w:cs="TH Sarabun New"/>
                <w:sz w:val="30"/>
                <w:szCs w:val="30"/>
              </w:rPr>
              <w:t xml:space="preserve">ปีที่ 1–2</w:t>
            </w:r>
          </w:p>
        </w:tc>
      </w:tr>
      <w:tr>
        <w:trPr>
          <w:cantSplit/>
        </w:trPr>
        <w:tc>
          <w:tcPr>
            <w:tcW w:type="dxa" w:w="1474"/>
            <w:vAlign w:val="top"/>
          </w:tcPr>
          <w:p>
            <w:pPr>
              <w:spacing w:after="40" w:before="0"/>
              <w:jc w:val="left"/>
            </w:pPr>
            <w:r>
              <w:rPr>
                <w:rFonts w:ascii="TH Sarabun New" w:hAnsi="TH Sarabun New" w:cs="TH Sarabun New"/>
                <w:sz w:val="30"/>
                <w:szCs w:val="30"/>
              </w:rPr>
              <w:t xml:space="preserve">L2 — Open API/NTCH</w:t>
            </w:r>
          </w:p>
        </w:tc>
        <w:tc>
          <w:tcPr>
            <w:tcW w:type="dxa" w:w="3969"/>
            <w:vAlign w:val="top"/>
          </w:tcPr>
          <w:p>
            <w:pPr>
              <w:spacing w:after="40" w:before="0"/>
              <w:jc w:val="left"/>
            </w:pPr>
            <w:r>
              <w:rPr>
                <w:rFonts w:ascii="TH Sarabun New" w:hAnsi="TH Sarabun New" w:cs="TH Sarabun New"/>
                <w:sz w:val="30"/>
                <w:szCs w:val="30"/>
              </w:rPr>
              <w:t xml:space="preserve">ออกกฎหมายลูกบังคับ Open API · จัดตั้ง NTCH · ผูกเงื่อนไขสัมปทาน</w:t>
            </w:r>
          </w:p>
        </w:tc>
        <w:tc>
          <w:tcPr>
            <w:tcW w:type="dxa" w:w="1531"/>
            <w:vAlign w:val="top"/>
          </w:tcPr>
          <w:p>
            <w:pPr>
              <w:spacing w:after="40" w:before="0"/>
              <w:jc w:val="left"/>
            </w:pPr>
            <w:r>
              <w:rPr>
                <w:rFonts w:ascii="TH Sarabun New" w:hAnsi="TH Sarabun New" w:cs="TH Sarabun New"/>
                <w:sz w:val="30"/>
                <w:szCs w:val="30"/>
              </w:rPr>
              <w:t xml:space="preserve">สนข./คลัง</w:t>
            </w:r>
          </w:p>
        </w:tc>
        <w:tc>
          <w:tcPr>
            <w:tcW w:type="dxa" w:w="1247"/>
            <w:vAlign w:val="top"/>
          </w:tcPr>
          <w:p>
            <w:pPr>
              <w:spacing w:after="40" w:before="0"/>
              <w:jc w:val="left"/>
            </w:pPr>
            <w:r>
              <w:rPr>
                <w:rFonts w:ascii="TH Sarabun New" w:hAnsi="TH Sarabun New" w:cs="TH Sarabun New"/>
                <w:sz w:val="30"/>
                <w:szCs w:val="30"/>
              </w:rPr>
              <w:t xml:space="preserve">ปีที่ 1–3</w:t>
            </w:r>
          </w:p>
        </w:tc>
      </w:tr>
      <w:tr>
        <w:trPr>
          <w:cantSplit/>
        </w:trPr>
        <w:tc>
          <w:tcPr>
            <w:tcW w:type="dxa" w:w="1474"/>
            <w:vAlign w:val="top"/>
          </w:tcPr>
          <w:p>
            <w:pPr>
              <w:spacing w:after="40" w:before="0"/>
              <w:jc w:val="left"/>
            </w:pPr>
            <w:r>
              <w:rPr>
                <w:rFonts w:ascii="TH Sarabun New" w:hAnsi="TH Sarabun New" w:cs="TH Sarabun New"/>
                <w:sz w:val="30"/>
                <w:szCs w:val="30"/>
              </w:rPr>
              <w:t xml:space="preserve">L3 — EV/ภาษี</w:t>
            </w:r>
          </w:p>
        </w:tc>
        <w:tc>
          <w:tcPr>
            <w:tcW w:type="dxa" w:w="3969"/>
            <w:vAlign w:val="top"/>
          </w:tcPr>
          <w:p>
            <w:pPr>
              <w:spacing w:after="40" w:before="0"/>
              <w:jc w:val="left"/>
            </w:pPr>
            <w:r>
              <w:rPr>
                <w:rFonts w:ascii="TH Sarabun New" w:hAnsi="TH Sarabun New" w:cs="TH Sarabun New"/>
                <w:sz w:val="30"/>
                <w:szCs w:val="30"/>
              </w:rPr>
              <w:t xml:space="preserve">Feeder EV + บัตรประชาชน + มาตรการภาษีจูงใจ</w:t>
            </w:r>
          </w:p>
        </w:tc>
        <w:tc>
          <w:tcPr>
            <w:tcW w:type="dxa" w:w="1531"/>
            <w:vAlign w:val="top"/>
          </w:tcPr>
          <w:p>
            <w:pPr>
              <w:spacing w:after="40" w:before="0"/>
              <w:jc w:val="left"/>
            </w:pPr>
            <w:r>
              <w:rPr>
                <w:rFonts w:ascii="TH Sarabun New" w:hAnsi="TH Sarabun New" w:cs="TH Sarabun New"/>
                <w:sz w:val="30"/>
                <w:szCs w:val="30"/>
              </w:rPr>
              <w:t xml:space="preserve">สนข./BOI/อปท.</w:t>
            </w:r>
          </w:p>
        </w:tc>
        <w:tc>
          <w:tcPr>
            <w:tcW w:type="dxa" w:w="1247"/>
            <w:vAlign w:val="top"/>
          </w:tcPr>
          <w:p>
            <w:pPr>
              <w:spacing w:after="40" w:before="0"/>
              <w:jc w:val="left"/>
            </w:pPr>
            <w:r>
              <w:rPr>
                <w:rFonts w:ascii="TH Sarabun New" w:hAnsi="TH Sarabun New" w:cs="TH Sarabun New"/>
                <w:sz w:val="30"/>
                <w:szCs w:val="30"/>
              </w:rPr>
              <w:t xml:space="preserve">ปีที่ 2–4</w:t>
            </w:r>
          </w:p>
        </w:tc>
      </w:tr>
      <w:tr>
        <w:trPr>
          <w:cantSplit/>
        </w:trPr>
        <w:tc>
          <w:tcPr>
            <w:tcW w:type="dxa" w:w="1474"/>
            <w:vAlign w:val="top"/>
          </w:tcPr>
          <w:p>
            <w:pPr>
              <w:spacing w:after="40" w:before="0"/>
              <w:jc w:val="left"/>
            </w:pPr>
            <w:r>
              <w:rPr>
                <w:rFonts w:ascii="TH Sarabun New" w:hAnsi="TH Sarabun New" w:cs="TH Sarabun New"/>
                <w:sz w:val="30"/>
                <w:szCs w:val="30"/>
              </w:rPr>
              <w:t xml:space="preserve">L4 — Streets/คน</w:t>
            </w:r>
          </w:p>
        </w:tc>
        <w:tc>
          <w:tcPr>
            <w:tcW w:type="dxa" w:w="3969"/>
            <w:vAlign w:val="top"/>
          </w:tcPr>
          <w:p>
            <w:pPr>
              <w:spacing w:after="40" w:before="0"/>
              <w:jc w:val="left"/>
            </w:pPr>
            <w:r>
              <w:rPr>
                <w:rFonts w:ascii="TH Sarabun New" w:hAnsi="TH Sarabun New" w:cs="TH Sarabun New"/>
                <w:sz w:val="30"/>
                <w:szCs w:val="30"/>
              </w:rPr>
              <w:t xml:space="preserve">Complete Streets + climate-resilient + พัฒนาบุคลากรร่วม TfL/BVG</w:t>
            </w:r>
          </w:p>
        </w:tc>
        <w:tc>
          <w:tcPr>
            <w:tcW w:type="dxa" w:w="1531"/>
            <w:vAlign w:val="top"/>
          </w:tcPr>
          <w:p>
            <w:pPr>
              <w:spacing w:after="40" w:before="0"/>
              <w:jc w:val="left"/>
            </w:pPr>
            <w:r>
              <w:rPr>
                <w:rFonts w:ascii="TH Sarabun New" w:hAnsi="TH Sarabun New" w:cs="TH Sarabun New"/>
                <w:sz w:val="30"/>
                <w:szCs w:val="30"/>
              </w:rPr>
              <w:t xml:space="preserve">สนข./อปท./สถาบันการศึกษา</w:t>
            </w:r>
          </w:p>
        </w:tc>
        <w:tc>
          <w:tcPr>
            <w:tcW w:type="dxa" w:w="1247"/>
            <w:vAlign w:val="top"/>
          </w:tcPr>
          <w:p>
            <w:pPr>
              <w:spacing w:after="40" w:before="0"/>
              <w:jc w:val="left"/>
            </w:pPr>
            <w:r>
              <w:rPr>
                <w:rFonts w:ascii="TH Sarabun New" w:hAnsi="TH Sarabun New" w:cs="TH Sarabun New"/>
                <w:sz w:val="30"/>
                <w:szCs w:val="30"/>
              </w:rPr>
              <w:t xml:space="preserve">ปีที่ 2–5</w:t>
            </w:r>
          </w:p>
        </w:tc>
      </w:tr>
      <w:tr>
        <w:tc>
          <w:tcPr>
            <w:tcW w:type="dxa" w:w="2076"/>
          </w:tcPr>
          <w:p>
            <w:pPr>
              <w:spacing w:after="40" w:before="0"/>
              <w:jc w:val="left"/>
            </w:pPr>
            <w:r>
              <w:rPr>
                <w:rFonts w:ascii="TH Sarabun New" w:hAnsi="TH Sarabun New" w:cs="TH Sarabun New"/>
                <w:sz w:val="30"/>
                <w:szCs w:val="30"/>
              </w:rPr>
              <w:t xml:space="preserve">L5 — ขยายผล</w:t>
            </w:r>
          </w:p>
        </w:tc>
        <w:tc>
          <w:tcPr>
            <w:tcW w:type="dxa" w:w="2076"/>
          </w:tcPr>
          <w:p>
            <w:pPr>
              <w:spacing w:after="40" w:before="0"/>
              <w:jc w:val="left"/>
            </w:pPr>
            <w:r>
              <w:rPr>
                <w:rFonts w:ascii="TH Sarabun New" w:hAnsi="TH Sarabun New" w:cs="TH Sarabun New"/>
                <w:sz w:val="30"/>
                <w:szCs w:val="30"/>
              </w:rPr>
              <w:t xml:space="preserve">บรรจุงบผูกพัน/กฎหมาย แล้วขยายผลทั่วประเทศ</w:t>
            </w:r>
          </w:p>
        </w:tc>
        <w:tc>
          <w:tcPr>
            <w:tcW w:type="dxa" w:w="2076"/>
          </w:tcPr>
          <w:p>
            <w:pPr>
              <w:spacing w:after="40" w:before="0"/>
              <w:jc w:val="left"/>
            </w:pPr>
            <w:r>
              <w:rPr>
                <w:rFonts w:ascii="TH Sarabun New" w:hAnsi="TH Sarabun New" w:cs="TH Sarabun New"/>
                <w:sz w:val="30"/>
                <w:szCs w:val="30"/>
              </w:rPr>
              <w:t xml:space="preserve">กระทรวงคมนาคม</w:t>
            </w:r>
          </w:p>
        </w:tc>
        <w:tc>
          <w:tcPr>
            <w:tcW w:type="dxa" w:w="2076"/>
          </w:tcPr>
          <w:p>
            <w:pPr>
              <w:spacing w:after="40" w:before="0"/>
              <w:jc w:val="left"/>
            </w:pPr>
            <w:r>
              <w:rPr>
                <w:rFonts w:ascii="TH Sarabun New" w:hAnsi="TH Sarabun New" w:cs="TH Sarabun New"/>
                <w:sz w:val="30"/>
                <w:szCs w:val="30"/>
              </w:rPr>
              <w:t xml:space="preserve">ปีที่ 3–10</w:t>
            </w:r>
          </w:p>
        </w:tc>
      </w:tr>
    </w:tbl>
    <w:p>
      <w:pPr>
        <w:spacing w:after="120"/>
      </w:pPr>
    </w:p>
    <w:p>
      <w:pPr>
        <w:keepNext/>
        <w:spacing w:before="200" w:after="80" w:line="240" w:lineRule="auto"/>
      </w:pPr>
      <w:r>
        <w:rPr>
          <w:rFonts w:ascii="TH Sarabun New" w:hAnsi="TH Sarabun New" w:cs="TH Sarabun New" w:eastAsia="TH Sarabun New"/>
          <w:b/>
          <w:i w:val="0"/>
          <w:color w:val="1F3D6E"/>
          <w:sz w:val="32"/>
          <w:szCs w:val="32"/>
        </w:rPr>
        <w:t>3. การวิเคราะห์ PESTEL โดยละเอียด</w:t>
      </w:r>
    </w:p>
    <w:p>
      <w:pPr>
        <w:keepNext/>
        <w:spacing w:before="160" w:after="40"/>
        <w:jc w:val="center"/>
      </w:pPr>
      <w:r>
        <w:rPr>
          <w:rFonts w:ascii="TH Sarabun New" w:hAnsi="TH Sarabun New" w:cs="TH Sarabun New" w:eastAsia="TH Sarabun New"/>
          <w:b/>
          <w:i w:val="0"/>
          <w:sz w:val="28"/>
          <w:szCs w:val="28"/>
        </w:rPr>
        <w:t>ตาราง ข-2  การวิเคราะห์สภาพแวดล้อมภายนอก (PESTEL) โดยละเอียด</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1984"/>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มิติ</w:t>
            </w:r>
          </w:p>
        </w:tc>
        <w:tc>
          <w:tcPr>
            <w:tcW w:type="dxa" w:w="6236"/>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ปัจจัยและนัยต่อข้อเสนอ</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การเมือง (Political)</w:t>
            </w:r>
          </w:p>
        </w:tc>
        <w:tc>
          <w:tcPr>
            <w:tcW w:type="dxa" w:w="6236"/>
            <w:vAlign w:val="top"/>
          </w:tcPr>
          <w:p>
            <w:pPr>
              <w:spacing w:after="0" w:line="240" w:lineRule="auto"/>
              <w:jc w:val="left"/>
            </w:pPr>
            <w:r/>
            <w:r>
              <w:rPr>
                <w:rFonts w:ascii="TH Sarabun New" w:hAnsi="TH Sarabun New" w:cs="TH Sarabun New" w:eastAsia="TH Sarabun New"/>
                <w:b w:val="0"/>
                <w:i w:val="0"/>
                <w:sz w:val="26"/>
                <w:szCs w:val="26"/>
              </w:rPr>
              <w:t>พ.ร.บ. ตั๋วร่วม 2568 และนโยบายคมนาคมเปิดทางบูรณาการ · ความเสี่ยงความต่อเนื่องเมื่อเปลี่ยนรัฐบาล จึงต้องบรรจุในกฎหมายลำดับรองและงบประมาณ</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เศรษฐกิจ (Economic)</w:t>
            </w:r>
          </w:p>
        </w:tc>
        <w:tc>
          <w:tcPr>
            <w:tcW w:type="dxa" w:w="6236"/>
            <w:vAlign w:val="top"/>
          </w:tcPr>
          <w:p>
            <w:pPr>
              <w:spacing w:after="0" w:line="240" w:lineRule="auto"/>
              <w:jc w:val="left"/>
            </w:pPr>
            <w:r/>
            <w:r>
              <w:rPr>
                <w:rFonts w:ascii="TH Sarabun New" w:hAnsi="TH Sarabun New" w:cs="TH Sarabun New" w:eastAsia="TH Sarabun New"/>
                <w:b w:val="0"/>
                <w:i w:val="0"/>
                <w:sz w:val="26"/>
                <w:szCs w:val="26"/>
              </w:rPr>
              <w:t>การเติบโตของเมืองและนิคมเพิ่มความต้องการเดินทาง · ต้นทุนความแออัดสูงขึ้น · โอกาสสร้างรายได้จากมาตรการเศรษฐศาสตร์</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สังคม (Social)</w:t>
            </w:r>
          </w:p>
        </w:tc>
        <w:tc>
          <w:tcPr>
            <w:tcW w:type="dxa" w:w="6236"/>
            <w:vAlign w:val="top"/>
          </w:tcPr>
          <w:p>
            <w:pPr>
              <w:spacing w:after="0" w:line="240" w:lineRule="auto"/>
              <w:jc w:val="left"/>
            </w:pPr>
            <w:r/>
            <w:r>
              <w:rPr>
                <w:rFonts w:ascii="TH Sarabun New" w:hAnsi="TH Sarabun New" w:cs="TH Sarabun New" w:eastAsia="TH Sarabun New"/>
                <w:b w:val="0"/>
                <w:i w:val="0"/>
                <w:sz w:val="26"/>
                <w:szCs w:val="26"/>
              </w:rPr>
              <w:t>สังคมสูงวัยและคนเมืองรุ่นใหม่ต้องการระบบที่เข้าถึงง่ายและเป็นดิจิทัล · ความตื่นตัวด้านสิ่งแวดล้อม</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เทคโนโลยี (Technological)</w:t>
            </w:r>
          </w:p>
        </w:tc>
        <w:tc>
          <w:tcPr>
            <w:tcW w:type="dxa" w:w="6236"/>
            <w:vAlign w:val="top"/>
          </w:tcPr>
          <w:p>
            <w:pPr>
              <w:spacing w:after="0" w:line="240" w:lineRule="auto"/>
              <w:jc w:val="left"/>
            </w:pPr>
            <w:r/>
            <w:r>
              <w:rPr>
                <w:rFonts w:ascii="TH Sarabun New" w:hAnsi="TH Sarabun New" w:cs="TH Sarabun New" w:eastAsia="TH Sarabun New"/>
                <w:b w:val="0"/>
                <w:i w:val="0"/>
                <w:sz w:val="26"/>
                <w:szCs w:val="26"/>
              </w:rPr>
              <w:t>EMV, MaaS, ThaID, GTFS/GBFS และ AI พร้อมใช้ · ลดต้นทุนและเพิ่มประสิทธิภาพการให้บริการ</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สิ่งแวดล้อม (Environmental)</w:t>
            </w:r>
          </w:p>
        </w:tc>
        <w:tc>
          <w:tcPr>
            <w:tcW w:type="dxa" w:w="6236"/>
            <w:vAlign w:val="top"/>
          </w:tcPr>
          <w:p>
            <w:pPr>
              <w:spacing w:after="0" w:line="240" w:lineRule="auto"/>
              <w:jc w:val="left"/>
            </w:pPr>
            <w:r/>
            <w:r>
              <w:rPr>
                <w:rFonts w:ascii="TH Sarabun New" w:hAnsi="TH Sarabun New" w:cs="TH Sarabun New" w:eastAsia="TH Sarabun New"/>
                <w:b w:val="0"/>
                <w:i w:val="0"/>
                <w:sz w:val="26"/>
                <w:szCs w:val="26"/>
              </w:rPr>
              <w:t>แรงกดดันลด PM2.5 และคาร์บอน · ความเสี่ยงน้ำท่วม-แผ่นดินทรุดในพื้นที่ลุ่มต่ำที่ต้องออกแบบรองรับ</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กฎหมาย (Legal)</w:t>
            </w:r>
          </w:p>
        </w:tc>
        <w:tc>
          <w:tcPr>
            <w:tcW w:type="dxa" w:w="6236"/>
            <w:vAlign w:val="top"/>
          </w:tcPr>
          <w:p>
            <w:pPr>
              <w:spacing w:after="0" w:line="240" w:lineRule="auto"/>
              <w:jc w:val="left"/>
            </w:pPr>
            <w:r/>
            <w:r>
              <w:rPr>
                <w:rFonts w:ascii="TH Sarabun New" w:hAnsi="TH Sarabun New" w:cs="TH Sarabun New" w:eastAsia="TH Sarabun New"/>
                <w:b w:val="0"/>
                <w:i w:val="0"/>
                <w:sz w:val="26"/>
                <w:szCs w:val="26"/>
              </w:rPr>
              <w:t>พ.ร.บ. ตั๋วร่วม · PDPA · พ.ร.บ. ไซเบอร์ฯ กำหนดกรอบการใช้ข้อมูลและธรรมาภิบาลที่ต้องปฏิบัติตาม</w:t>
            </w:r>
          </w:p>
        </w:tc>
      </w:tr>
    </w:tbl>
    <w:p>
      <w:pPr>
        <w:spacing w:after="120"/>
      </w:pPr>
    </w:p>
    <w:p>
      <w:r>
        <w:br w:type="page"/>
      </w:r>
    </w:p>
    <w:p>
      <w:pPr>
        <w:keepNext/>
        <w:spacing w:before="0" w:after="200" w:line="240" w:lineRule="auto"/>
        <w:jc w:val="left"/>
      </w:pPr>
      <w:r>
        <w:rPr>
          <w:rFonts w:ascii="TH Sarabun New" w:hAnsi="TH Sarabun New" w:cs="TH Sarabun New" w:eastAsia="TH Sarabun New"/>
          <w:b/>
          <w:i w:val="0"/>
          <w:color w:val="1F3D6E"/>
          <w:sz w:val="36"/>
          <w:szCs w:val="36"/>
        </w:rPr>
        <w:t>ภาคผนวก ค  รายละเอียดงบประมาณและการวิเคราะห์ความคุ้มค่าทางการเงิน</w:t>
      </w:r>
    </w:p>
    <w:p>
      <w:pPr>
        <w:spacing w:line="240" w:lineRule="auto" w:after="0"/>
        <w:ind w:firstLine="720"/>
        <w:jc w:val="left"/>
      </w:pPr>
      <w:r>
        <w:rPr>
          <w:rFonts w:ascii="TH Sarabun New" w:hAnsi="TH Sarabun New" w:cs="TH Sarabun New" w:eastAsia="TH Sarabun New"/>
          <w:b w:val="0"/>
          <w:i w:val="0"/>
          <w:sz w:val="32"/>
          <w:szCs w:val="32"/>
        </w:rPr>
        <w:t>ภาคผนวกนี้แสดงรายละเอียดประมาณการงบประมาณรายปี แหล่งรายได้ และสมมุติฐานในการวิเคราะห์อัตราส่วนผลตอบแทนต่อต้นทุน (Benefit-Cost Ratio: BCR)</w:t>
      </w:r>
    </w:p>
    <w:p>
      <w:pPr>
        <w:keepNext/>
        <w:spacing w:before="160" w:after="40"/>
        <w:jc w:val="center"/>
      </w:pPr>
      <w:r>
        <w:rPr>
          <w:rFonts w:ascii="TH Sarabun New" w:hAnsi="TH Sarabun New" w:cs="TH Sarabun New" w:eastAsia="TH Sarabun New"/>
          <w:b/>
          <w:i w:val="0"/>
          <w:sz w:val="28"/>
          <w:szCs w:val="28"/>
        </w:rPr>
        <w:t>ตาราง ค-1  ประมาณการงบประมาณรายช่วงปี</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1814"/>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ปีงบประมาณ (พ.ศ.)</w:t>
            </w:r>
          </w:p>
        </w:tc>
        <w:tc>
          <w:tcPr>
            <w:tcW w:type="dxa" w:w="4422"/>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กิจกรรมหลัก</w:t>
            </w:r>
          </w:p>
        </w:tc>
        <w:tc>
          <w:tcPr>
            <w:tcW w:type="dxa" w:w="1984"/>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งบประมาณ (ล้านบาท)</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2569-2570</w:t>
            </w:r>
          </w:p>
        </w:tc>
        <w:tc>
          <w:tcPr>
            <w:tcW w:type="dxa" w:w="4422"/>
            <w:vAlign w:val="top"/>
          </w:tcPr>
          <w:p>
            <w:pPr>
              <w:spacing w:after="0" w:line="240" w:lineRule="auto"/>
              <w:jc w:val="left"/>
            </w:pPr>
            <w:r/>
            <w:r>
              <w:rPr>
                <w:rFonts w:ascii="TH Sarabun New" w:hAnsi="TH Sarabun New" w:cs="TH Sarabun New" w:eastAsia="TH Sarabun New"/>
                <w:b w:val="0"/>
                <w:i w:val="0"/>
                <w:sz w:val="26"/>
                <w:szCs w:val="26"/>
              </w:rPr>
              <w:t>วางฐานราก กฎหมาย/NTCH/Data Catalog</w:t>
            </w:r>
          </w:p>
        </w:tc>
        <w:tc>
          <w:tcPr>
            <w:tcW w:type="dxa" w:w="1984"/>
            <w:vAlign w:val="top"/>
          </w:tcPr>
          <w:p>
            <w:pPr>
              <w:spacing w:after="0" w:line="240" w:lineRule="auto"/>
              <w:jc w:val="left"/>
            </w:pPr>
            <w:r/>
            <w:r>
              <w:rPr>
                <w:rFonts w:ascii="TH Sarabun New" w:hAnsi="TH Sarabun New" w:cs="TH Sarabun New" w:eastAsia="TH Sarabun New"/>
                <w:b w:val="0"/>
                <w:i w:val="0"/>
                <w:sz w:val="26"/>
                <w:szCs w:val="26"/>
              </w:rPr>
              <w:t>800-1,200</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2570-2571</w:t>
            </w:r>
          </w:p>
        </w:tc>
        <w:tc>
          <w:tcPr>
            <w:tcW w:type="dxa" w:w="4422"/>
            <w:vAlign w:val="top"/>
          </w:tcPr>
          <w:p>
            <w:pPr>
              <w:spacing w:after="0" w:line="240" w:lineRule="auto"/>
              <w:jc w:val="left"/>
            </w:pPr>
            <w:r/>
            <w:r>
              <w:rPr>
                <w:rFonts w:ascii="TH Sarabun New" w:hAnsi="TH Sarabun New" w:cs="TH Sarabun New" w:eastAsia="TH Sarabun New"/>
                <w:b w:val="0"/>
                <w:i w:val="0"/>
                <w:sz w:val="26"/>
                <w:szCs w:val="26"/>
              </w:rPr>
              <w:t>นำร่องสมุทรปราการ ระยะที่ 1 (ตั๋วร่วม + MaaS Beta)</w:t>
            </w:r>
          </w:p>
        </w:tc>
        <w:tc>
          <w:tcPr>
            <w:tcW w:type="dxa" w:w="1984"/>
            <w:vAlign w:val="top"/>
          </w:tcPr>
          <w:p>
            <w:pPr>
              <w:spacing w:after="0" w:line="240" w:lineRule="auto"/>
              <w:jc w:val="left"/>
            </w:pPr>
            <w:r/>
            <w:r>
              <w:rPr>
                <w:rFonts w:ascii="TH Sarabun New" w:hAnsi="TH Sarabun New" w:cs="TH Sarabun New" w:eastAsia="TH Sarabun New"/>
                <w:b w:val="0"/>
                <w:i w:val="0"/>
                <w:sz w:val="26"/>
                <w:szCs w:val="26"/>
              </w:rPr>
              <w:t>1,500-2,500</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2571-2572</w:t>
            </w:r>
          </w:p>
        </w:tc>
        <w:tc>
          <w:tcPr>
            <w:tcW w:type="dxa" w:w="4422"/>
            <w:vAlign w:val="top"/>
          </w:tcPr>
          <w:p>
            <w:pPr>
              <w:spacing w:after="0" w:line="240" w:lineRule="auto"/>
              <w:jc w:val="left"/>
            </w:pPr>
            <w:r/>
            <w:r>
              <w:rPr>
                <w:rFonts w:ascii="TH Sarabun New" w:hAnsi="TH Sarabun New" w:cs="TH Sarabun New" w:eastAsia="TH Sarabun New"/>
                <w:b w:val="0"/>
                <w:i w:val="0"/>
                <w:sz w:val="26"/>
                <w:szCs w:val="26"/>
              </w:rPr>
              <w:t>นำร่องสมุทรปราการ ระยะที่ 2 (Complete Streets + ภาษี)</w:t>
            </w:r>
          </w:p>
        </w:tc>
        <w:tc>
          <w:tcPr>
            <w:tcW w:type="dxa" w:w="1984"/>
            <w:vAlign w:val="top"/>
          </w:tcPr>
          <w:p>
            <w:pPr>
              <w:spacing w:after="0" w:line="240" w:lineRule="auto"/>
              <w:jc w:val="left"/>
            </w:pPr>
            <w:r/>
            <w:r>
              <w:rPr>
                <w:rFonts w:ascii="TH Sarabun New" w:hAnsi="TH Sarabun New" w:cs="TH Sarabun New" w:eastAsia="TH Sarabun New"/>
                <w:b w:val="0"/>
                <w:i w:val="0"/>
                <w:sz w:val="26"/>
                <w:szCs w:val="26"/>
              </w:rPr>
              <w:t>2,500-3,500</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2572-2574</w:t>
            </w:r>
          </w:p>
        </w:tc>
        <w:tc>
          <w:tcPr>
            <w:tcW w:type="dxa" w:w="4422"/>
            <w:vAlign w:val="top"/>
          </w:tcPr>
          <w:p>
            <w:pPr>
              <w:spacing w:after="0" w:line="240" w:lineRule="auto"/>
              <w:jc w:val="left"/>
            </w:pPr>
            <w:r/>
            <w:r>
              <w:rPr>
                <w:rFonts w:ascii="TH Sarabun New" w:hAnsi="TH Sarabun New" w:cs="TH Sarabun New" w:eastAsia="TH Sarabun New"/>
                <w:b w:val="0"/>
                <w:i w:val="0"/>
                <w:sz w:val="26"/>
                <w:szCs w:val="26"/>
              </w:rPr>
              <w:t>ขยายผลสู่ปริมณฑลและ กทม.</w:t>
            </w:r>
          </w:p>
        </w:tc>
        <w:tc>
          <w:tcPr>
            <w:tcW w:type="dxa" w:w="1984"/>
            <w:vAlign w:val="top"/>
          </w:tcPr>
          <w:p>
            <w:pPr>
              <w:spacing w:after="0" w:line="240" w:lineRule="auto"/>
              <w:jc w:val="left"/>
            </w:pPr>
            <w:r/>
            <w:r>
              <w:rPr>
                <w:rFonts w:ascii="TH Sarabun New" w:hAnsi="TH Sarabun New" w:cs="TH Sarabun New" w:eastAsia="TH Sarabun New"/>
                <w:b w:val="0"/>
                <w:i w:val="0"/>
                <w:sz w:val="26"/>
                <w:szCs w:val="26"/>
              </w:rPr>
              <w:t>2,500-3,500</w:t>
            </w:r>
          </w:p>
        </w:tc>
      </w:tr>
      <w:tr>
        <w:trPr>
          <w:cantSplit/>
        </w:trPr>
        <w:tc>
          <w:tcPr>
            <w:tcW w:type="dxa" w:w="1814"/>
            <w:vAlign w:val="top"/>
          </w:tcPr>
          <w:p>
            <w:pPr>
              <w:spacing w:after="0" w:line="240" w:lineRule="auto"/>
              <w:jc w:val="left"/>
            </w:pPr>
            <w:r/>
            <w:r>
              <w:rPr>
                <w:rFonts w:ascii="TH Sarabun New" w:hAnsi="TH Sarabun New" w:cs="TH Sarabun New" w:eastAsia="TH Sarabun New"/>
                <w:b w:val="0"/>
                <w:i w:val="0"/>
                <w:sz w:val="26"/>
                <w:szCs w:val="26"/>
              </w:rPr>
              <w:t>2574-2576</w:t>
            </w:r>
          </w:p>
        </w:tc>
        <w:tc>
          <w:tcPr>
            <w:tcW w:type="dxa" w:w="4422"/>
            <w:vAlign w:val="top"/>
          </w:tcPr>
          <w:p>
            <w:pPr>
              <w:spacing w:after="0" w:line="240" w:lineRule="auto"/>
              <w:jc w:val="left"/>
            </w:pPr>
            <w:r/>
            <w:r>
              <w:rPr>
                <w:rFonts w:ascii="TH Sarabun New" w:hAnsi="TH Sarabun New" w:cs="TH Sarabun New" w:eastAsia="TH Sarabun New"/>
                <w:b w:val="0"/>
                <w:i w:val="0"/>
                <w:sz w:val="26"/>
                <w:szCs w:val="26"/>
              </w:rPr>
              <w:t>ขยายผลทั่วประเทศ + มาตรการเศรษฐศาสตร์เต็มรูปแบบ</w:t>
            </w:r>
          </w:p>
        </w:tc>
        <w:tc>
          <w:tcPr>
            <w:tcW w:type="dxa" w:w="1984"/>
            <w:vAlign w:val="top"/>
          </w:tcPr>
          <w:p>
            <w:pPr>
              <w:spacing w:after="0" w:line="240" w:lineRule="auto"/>
              <w:jc w:val="left"/>
            </w:pPr>
            <w:r/>
            <w:r>
              <w:rPr>
                <w:rFonts w:ascii="TH Sarabun New" w:hAnsi="TH Sarabun New" w:cs="TH Sarabun New" w:eastAsia="TH Sarabun New"/>
                <w:b w:val="0"/>
                <w:i w:val="0"/>
                <w:sz w:val="26"/>
                <w:szCs w:val="26"/>
              </w:rPr>
              <w:t>2,500-3,500</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สมมุติฐานในการวิเคราะห์ BCR ประกอบด้วย ผลประโยชน์จากการประหยัดเวลาเดินทาง (มูลค่าเวลา) การลดต้นทุนเชื้อเพลิงและการปล่อยมลพิษ การลดอุบัติเหตุ และรายได้จากมาตรการทางเศรษฐศาสตร์ ภายใต้อัตราคิดลด (Discount Rate) ร้อยละ 3-6 ต่อปี ตลอดระยะเวลาประเมิน 10 ปี ผลการวิเคราะห์ความอ่อนไหว (Sensitivity Analysis) แสดงว่า BCR ยังคงมากกว่า 1 อย่างมีนัยสำคัญแม้ในกรณีที่ผลประโยชน์ต่ำกว่าคาดและต้นทุนสูงกว่าคาดร้อยละ 20</w:t>
      </w:r>
    </w:p>
    <w:p>
      <w:pPr>
        <w:keepNext/>
        <w:spacing w:before="160" w:after="40"/>
        <w:jc w:val="center"/>
      </w:pPr>
      <w:r>
        <w:rPr>
          <w:rFonts w:ascii="TH Sarabun New" w:hAnsi="TH Sarabun New" w:cs="TH Sarabun New" w:eastAsia="TH Sarabun New"/>
          <w:b/>
          <w:i w:val="0"/>
          <w:sz w:val="28"/>
          <w:szCs w:val="28"/>
        </w:rPr>
        <w:t>ตาราง ค-2  องค์ประกอบผลประโยชน์ในการวิเคราะห์ความคุ้มค่า</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255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ประเภทผลประโยชน์</w:t>
            </w:r>
          </w:p>
        </w:tc>
        <w:tc>
          <w:tcPr>
            <w:tcW w:type="dxa" w:w="5669"/>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คำอธิบาย</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การประหยัดเวลาเดินทาง</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มูลค่าเวลาที่ประหยัดได้จากการลดความแออัดและการเดินทางที่ไร้รอยต่อ</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การลดต้นทุนเชื้อเพลิง</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จากการลดการใช้รถยนต์ส่วนบุคคลและการเปลี่ยนสู่ยานยนต์ไฟฟ้า</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การลดมลพิษและคาร์บอน</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มูลค่าผลกระทบภายนอกที่ลดลง (PM2.5 และก๊าซเรือนกระจก)</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การลดอุบัติเหตุ</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มูลค่าความสูญเสียที่ลดลงจาก Complete Streets และการลดจำนวนรถบนถนน</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รายได้จากมาตรการเศรษฐศาสตร์</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ภาษี Zone-based · ERP · Workplace Parking Levy · Versement Mobilité</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ผลการวิเคราะห์ความอ่อนไหวภายใต้ 3 กรณี (Best/Base/Worst) แสดงว่าแม้ในกรณีเลวร้ายที่สุด ที่ต้นทุนสูงขึ้นและผลประโยชน์ต่ำลง โครงการยังคงมีความคุ้มค่าทางเศรษฐกิจ ทั้งนี้ ปัจจัยที่มีผลต่อความคุ้มค่ามากที่สุดคืออัตราการเปลี่ยนพฤติกรรม (Modal Shift) และอัตราการนำมาตรการทางเศรษฐศาสตร์มาใช้ จึงควรให้ความสำคัญกับการสื่อสารและการสร้างแรงจูงใจอย่างเหมาะสม</w:t>
      </w:r>
    </w:p>
    <w:p>
      <w:pPr>
        <w:spacing w:line="240" w:lineRule="auto" w:after="0"/>
        <w:ind w:firstLine="720"/>
        <w:jc w:val="left"/>
      </w:pPr>
      <w:r>
        <w:rPr>
          <w:rFonts w:ascii="TH Sarabun New" w:hAnsi="TH Sarabun New" w:cs="TH Sarabun New" w:eastAsia="TH Sarabun New"/>
          <w:b w:val="0"/>
          <w:i w:val="0"/>
          <w:sz w:val="32"/>
          <w:szCs w:val="32"/>
        </w:rPr>
        <w:t>สำหรับแหล่งเงินทุนในการดำเนินโครงการ คณะผู้จัดทำเสนอให้ใช้หลายแหล่งประกอบกัน (Blended Finance) เพื่อกระจายความเสี่ยงและลดภาระงบประมาณแผ่นดิน ดังตาราง</w:t>
      </w:r>
    </w:p>
    <w:p>
      <w:pPr>
        <w:keepNext/>
        <w:spacing w:before="160" w:after="40"/>
        <w:jc w:val="center"/>
      </w:pPr>
      <w:r>
        <w:rPr>
          <w:rFonts w:ascii="TH Sarabun New" w:hAnsi="TH Sarabun New" w:cs="TH Sarabun New" w:eastAsia="TH Sarabun New"/>
          <w:b/>
          <w:i w:val="0"/>
          <w:sz w:val="28"/>
          <w:szCs w:val="28"/>
        </w:rPr>
        <w:t>ตาราง ค-3  แหล่งเงินทุนที่เสนอ (Blended Finance)</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255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แหล่งเงินทุน</w:t>
            </w:r>
          </w:p>
        </w:tc>
        <w:tc>
          <w:tcPr>
            <w:tcW w:type="dxa" w:w="5669"/>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บทบาทและสัดส่วนที่เสนอ</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งบประมาณแผ่นดิน</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ลงทุนโครงสร้างพื้นฐานหลักและการวางระบบในระยะแรก</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รายได้จากมาตรการเศรษฐศาสตร์</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นำกลับมาลงทุนหมุนเวียน (Ring-fencing) ในระยะกลาง-ยาว</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การร่วมลงทุนรัฐ-เอกชน (PPP)</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การพัฒนาและดำเนินงาน MaaS และระบบ Feeder EV</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กองทุนเพื่อการขนส่ง</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จัดตั้งกองทุนเฉพาะเพื่อสนับสนุนการเปลี่ยนผ่านและกลุ่มเปราะบาง</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ความร่วมมือระหว่างประเทศ</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การสนับสนุนทางวิชาการและการเงินด้านการลดคาร์บอน</w:t>
            </w:r>
          </w:p>
        </w:tc>
      </w:tr>
    </w:tbl>
    <w:p>
      <w:pPr>
        <w:spacing w:after="120"/>
      </w:pPr>
    </w:p>
    <w:p>
      <w:r>
        <w:br w:type="page"/>
      </w:r>
    </w:p>
    <w:p>
      <w:pPr>
        <w:keepNext/>
        <w:spacing w:before="0" w:after="200" w:line="240" w:lineRule="auto"/>
        <w:jc w:val="left"/>
      </w:pPr>
      <w:r>
        <w:rPr>
          <w:rFonts w:ascii="TH Sarabun New" w:hAnsi="TH Sarabun New" w:cs="TH Sarabun New" w:eastAsia="TH Sarabun New"/>
          <w:b/>
          <w:i w:val="0"/>
          <w:color w:val="1F3D6E"/>
          <w:sz w:val="36"/>
          <w:szCs w:val="36"/>
        </w:rPr>
        <w:t>ภาคผนวก ง  มาตรฐานทางเทคนิคและสถาปัตยกรรมข้อมูล</w:t>
      </w:r>
    </w:p>
    <w:p>
      <w:pPr>
        <w:spacing w:line="240" w:lineRule="auto" w:after="0"/>
        <w:ind w:firstLine="720"/>
        <w:jc w:val="left"/>
      </w:pPr>
      <w:r>
        <w:rPr>
          <w:rFonts w:ascii="TH Sarabun New" w:hAnsi="TH Sarabun New" w:cs="TH Sarabun New" w:eastAsia="TH Sarabun New"/>
          <w:b w:val="0"/>
          <w:i w:val="0"/>
          <w:sz w:val="32"/>
          <w:szCs w:val="32"/>
        </w:rPr>
        <w:t>การบูรณาการระบบขนส่งจำเป็นต้องอาศัยมาตรฐานทางเทคนิคที่เป็นสากล เพื่อให้ระบบต่าง ๆ ทำงานร่วมกันได้ (Interoperability) มาตรฐานสำคัญมีดังนี้</w:t>
      </w:r>
    </w:p>
    <w:p>
      <w:pPr>
        <w:keepNext/>
        <w:spacing w:before="160" w:after="40"/>
        <w:jc w:val="center"/>
      </w:pPr>
      <w:r>
        <w:rPr>
          <w:rFonts w:ascii="TH Sarabun New" w:hAnsi="TH Sarabun New" w:cs="TH Sarabun New" w:eastAsia="TH Sarabun New"/>
          <w:b/>
          <w:i w:val="0"/>
          <w:sz w:val="28"/>
          <w:szCs w:val="28"/>
        </w:rPr>
        <w:t>ตาราง ง-1  มาตรฐานทางเทคนิคที่เกี่ยวข้อง</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1587"/>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ด้าน</w:t>
            </w:r>
          </w:p>
        </w:tc>
        <w:tc>
          <w:tcPr>
            <w:tcW w:type="dxa" w:w="294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มาตรฐาน/เทคโนโลยี</w:t>
            </w:r>
          </w:p>
        </w:tc>
        <w:tc>
          <w:tcPr>
            <w:tcW w:type="dxa" w:w="3685"/>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การใช้งาน</w:t>
            </w:r>
          </w:p>
        </w:tc>
      </w:tr>
      <w:tr>
        <w:trPr>
          <w:cantSplit/>
        </w:trPr>
        <w:tc>
          <w:tcPr>
            <w:tcW w:type="dxa" w:w="1587"/>
            <w:vAlign w:val="top"/>
          </w:tcPr>
          <w:p>
            <w:pPr>
              <w:spacing w:after="0" w:line="240" w:lineRule="auto"/>
              <w:jc w:val="left"/>
            </w:pPr>
            <w:r/>
            <w:r>
              <w:rPr>
                <w:rFonts w:ascii="TH Sarabun New" w:hAnsi="TH Sarabun New" w:cs="TH Sarabun New" w:eastAsia="TH Sarabun New"/>
                <w:b w:val="0"/>
                <w:i w:val="0"/>
                <w:sz w:val="26"/>
                <w:szCs w:val="26"/>
              </w:rPr>
              <w:t>การชำระเงิน</w:t>
            </w:r>
          </w:p>
        </w:tc>
        <w:tc>
          <w:tcPr>
            <w:tcW w:type="dxa" w:w="2948"/>
            <w:vAlign w:val="top"/>
          </w:tcPr>
          <w:p>
            <w:pPr>
              <w:spacing w:after="0" w:line="240" w:lineRule="auto"/>
              <w:jc w:val="left"/>
            </w:pPr>
            <w:r/>
            <w:r>
              <w:rPr>
                <w:rFonts w:ascii="TH Sarabun New" w:hAnsi="TH Sarabun New" w:cs="TH Sarabun New" w:eastAsia="TH Sarabun New"/>
                <w:b w:val="0"/>
                <w:i w:val="0"/>
                <w:sz w:val="26"/>
                <w:szCs w:val="26"/>
              </w:rPr>
              <w:t>EMV Open-loop · Account-Based Ticketing (ABT)</w:t>
            </w:r>
          </w:p>
        </w:tc>
        <w:tc>
          <w:tcPr>
            <w:tcW w:type="dxa" w:w="3685"/>
            <w:vAlign w:val="top"/>
          </w:tcPr>
          <w:p>
            <w:pPr>
              <w:spacing w:after="0" w:line="240" w:lineRule="auto"/>
              <w:jc w:val="left"/>
            </w:pPr>
            <w:r/>
            <w:r>
              <w:rPr>
                <w:rFonts w:ascii="TH Sarabun New" w:hAnsi="TH Sarabun New" w:cs="TH Sarabun New" w:eastAsia="TH Sarabun New"/>
                <w:b w:val="0"/>
                <w:i w:val="0"/>
                <w:sz w:val="26"/>
                <w:szCs w:val="26"/>
              </w:rPr>
              <w:t>แตะบัตรเครดิต/เดบิตหรือมือถือ · บัญชีกลางคิดค่าโดยสาร</w:t>
            </w:r>
          </w:p>
        </w:tc>
      </w:tr>
      <w:tr>
        <w:trPr>
          <w:cantSplit/>
        </w:trPr>
        <w:tc>
          <w:tcPr>
            <w:tcW w:type="dxa" w:w="1587"/>
            <w:vAlign w:val="top"/>
          </w:tcPr>
          <w:p>
            <w:pPr>
              <w:spacing w:after="0" w:line="240" w:lineRule="auto"/>
              <w:jc w:val="left"/>
            </w:pPr>
            <w:r/>
            <w:r>
              <w:rPr>
                <w:rFonts w:ascii="TH Sarabun New" w:hAnsi="TH Sarabun New" w:cs="TH Sarabun New" w:eastAsia="TH Sarabun New"/>
                <w:b w:val="0"/>
                <w:i w:val="0"/>
                <w:sz w:val="26"/>
                <w:szCs w:val="26"/>
              </w:rPr>
              <w:t>ข้อมูลขนส่ง</w:t>
            </w:r>
          </w:p>
        </w:tc>
        <w:tc>
          <w:tcPr>
            <w:tcW w:type="dxa" w:w="2948"/>
            <w:vAlign w:val="top"/>
          </w:tcPr>
          <w:p>
            <w:pPr>
              <w:spacing w:after="0" w:line="240" w:lineRule="auto"/>
              <w:jc w:val="left"/>
            </w:pPr>
            <w:r/>
            <w:r>
              <w:rPr>
                <w:rFonts w:ascii="TH Sarabun New" w:hAnsi="TH Sarabun New" w:cs="TH Sarabun New" w:eastAsia="TH Sarabun New"/>
                <w:b w:val="0"/>
                <w:i w:val="0"/>
                <w:sz w:val="26"/>
                <w:szCs w:val="26"/>
              </w:rPr>
              <w:t>GTFS · GTFS-Realtime · GBFS</w:t>
            </w:r>
          </w:p>
        </w:tc>
        <w:tc>
          <w:tcPr>
            <w:tcW w:type="dxa" w:w="3685"/>
            <w:vAlign w:val="top"/>
          </w:tcPr>
          <w:p>
            <w:pPr>
              <w:spacing w:after="0" w:line="240" w:lineRule="auto"/>
              <w:jc w:val="left"/>
            </w:pPr>
            <w:r/>
            <w:r>
              <w:rPr>
                <w:rFonts w:ascii="TH Sarabun New" w:hAnsi="TH Sarabun New" w:cs="TH Sarabun New" w:eastAsia="TH Sarabun New"/>
                <w:b w:val="0"/>
                <w:i w:val="0"/>
                <w:sz w:val="26"/>
                <w:szCs w:val="26"/>
              </w:rPr>
              <w:t>ตารางเดินรถ · ข้อมูลเรียลไทม์ · ยานพาหนะแบ่งปัน</w:t>
            </w:r>
          </w:p>
        </w:tc>
      </w:tr>
      <w:tr>
        <w:trPr>
          <w:cantSplit/>
        </w:trPr>
        <w:tc>
          <w:tcPr>
            <w:tcW w:type="dxa" w:w="1587"/>
            <w:vAlign w:val="top"/>
          </w:tcPr>
          <w:p>
            <w:pPr>
              <w:spacing w:after="0" w:line="240" w:lineRule="auto"/>
              <w:jc w:val="left"/>
            </w:pPr>
            <w:r/>
            <w:r>
              <w:rPr>
                <w:rFonts w:ascii="TH Sarabun New" w:hAnsi="TH Sarabun New" w:cs="TH Sarabun New" w:eastAsia="TH Sarabun New"/>
                <w:b w:val="0"/>
                <w:i w:val="0"/>
                <w:sz w:val="26"/>
                <w:szCs w:val="26"/>
              </w:rPr>
              <w:t>การเชื่อมต่อ</w:t>
            </w:r>
          </w:p>
        </w:tc>
        <w:tc>
          <w:tcPr>
            <w:tcW w:type="dxa" w:w="2948"/>
            <w:vAlign w:val="top"/>
          </w:tcPr>
          <w:p>
            <w:pPr>
              <w:spacing w:after="0" w:line="240" w:lineRule="auto"/>
              <w:jc w:val="left"/>
            </w:pPr>
            <w:r/>
            <w:r>
              <w:rPr>
                <w:rFonts w:ascii="TH Sarabun New" w:hAnsi="TH Sarabun New" w:cs="TH Sarabun New" w:eastAsia="TH Sarabun New"/>
                <w:b w:val="0"/>
                <w:i w:val="0"/>
                <w:sz w:val="26"/>
                <w:szCs w:val="26"/>
              </w:rPr>
              <w:t>TOMP-API · REST API · OAuth2</w:t>
            </w:r>
          </w:p>
        </w:tc>
        <w:tc>
          <w:tcPr>
            <w:tcW w:type="dxa" w:w="3685"/>
            <w:vAlign w:val="top"/>
          </w:tcPr>
          <w:p>
            <w:pPr>
              <w:spacing w:after="0" w:line="240" w:lineRule="auto"/>
              <w:jc w:val="left"/>
            </w:pPr>
            <w:r/>
            <w:r>
              <w:rPr>
                <w:rFonts w:ascii="TH Sarabun New" w:hAnsi="TH Sarabun New" w:cs="TH Sarabun New" w:eastAsia="TH Sarabun New"/>
                <w:b w:val="0"/>
                <w:i w:val="0"/>
                <w:sz w:val="26"/>
                <w:szCs w:val="26"/>
              </w:rPr>
              <w:t>มาตรฐานเชื่อม MaaS · ยืนยันตัวตน</w:t>
            </w:r>
          </w:p>
        </w:tc>
      </w:tr>
      <w:tr>
        <w:trPr>
          <w:cantSplit/>
        </w:trPr>
        <w:tc>
          <w:tcPr>
            <w:tcW w:type="dxa" w:w="1587"/>
            <w:vAlign w:val="top"/>
          </w:tcPr>
          <w:p>
            <w:pPr>
              <w:spacing w:after="0" w:line="240" w:lineRule="auto"/>
              <w:jc w:val="left"/>
            </w:pPr>
            <w:r/>
            <w:r>
              <w:rPr>
                <w:rFonts w:ascii="TH Sarabun New" w:hAnsi="TH Sarabun New" w:cs="TH Sarabun New" w:eastAsia="TH Sarabun New"/>
                <w:b w:val="0"/>
                <w:i w:val="0"/>
                <w:sz w:val="26"/>
                <w:szCs w:val="26"/>
              </w:rPr>
              <w:t>ตัวตนดิจิทัล</w:t>
            </w:r>
          </w:p>
        </w:tc>
        <w:tc>
          <w:tcPr>
            <w:tcW w:type="dxa" w:w="2948"/>
            <w:vAlign w:val="top"/>
          </w:tcPr>
          <w:p>
            <w:pPr>
              <w:spacing w:after="0" w:line="240" w:lineRule="auto"/>
              <w:jc w:val="left"/>
            </w:pPr>
            <w:r/>
            <w:r>
              <w:rPr>
                <w:rFonts w:ascii="TH Sarabun New" w:hAnsi="TH Sarabun New" w:cs="TH Sarabun New" w:eastAsia="TH Sarabun New"/>
                <w:b w:val="0"/>
                <w:i w:val="0"/>
                <w:sz w:val="26"/>
                <w:szCs w:val="26"/>
              </w:rPr>
              <w:t>ThaID</w:t>
            </w:r>
          </w:p>
        </w:tc>
        <w:tc>
          <w:tcPr>
            <w:tcW w:type="dxa" w:w="3685"/>
            <w:vAlign w:val="top"/>
          </w:tcPr>
          <w:p>
            <w:pPr>
              <w:spacing w:after="0" w:line="240" w:lineRule="auto"/>
              <w:jc w:val="left"/>
            </w:pPr>
            <w:r/>
            <w:r>
              <w:rPr>
                <w:rFonts w:ascii="TH Sarabun New" w:hAnsi="TH Sarabun New" w:cs="TH Sarabun New" w:eastAsia="TH Sarabun New"/>
                <w:b w:val="0"/>
                <w:i w:val="0"/>
                <w:sz w:val="26"/>
                <w:szCs w:val="26"/>
              </w:rPr>
              <w:t>ยืนยันตัวตนผู้ใช้แบบปลอดภัย</w:t>
            </w:r>
          </w:p>
        </w:tc>
      </w:tr>
      <w:tr>
        <w:trPr>
          <w:cantSplit/>
        </w:trPr>
        <w:tc>
          <w:tcPr>
            <w:tcW w:type="dxa" w:w="1587"/>
            <w:vAlign w:val="top"/>
          </w:tcPr>
          <w:p>
            <w:pPr>
              <w:spacing w:after="0" w:line="240" w:lineRule="auto"/>
              <w:jc w:val="left"/>
            </w:pPr>
            <w:r/>
            <w:r>
              <w:rPr>
                <w:rFonts w:ascii="TH Sarabun New" w:hAnsi="TH Sarabun New" w:cs="TH Sarabun New" w:eastAsia="TH Sarabun New"/>
                <w:b w:val="0"/>
                <w:i w:val="0"/>
                <w:sz w:val="26"/>
                <w:szCs w:val="26"/>
              </w:rPr>
              <w:t>ความมั่นคงปลอดภัย</w:t>
            </w:r>
          </w:p>
        </w:tc>
        <w:tc>
          <w:tcPr>
            <w:tcW w:type="dxa" w:w="2948"/>
            <w:vAlign w:val="top"/>
          </w:tcPr>
          <w:p>
            <w:pPr>
              <w:spacing w:after="0" w:line="240" w:lineRule="auto"/>
              <w:jc w:val="left"/>
            </w:pPr>
            <w:r/>
            <w:r>
              <w:rPr>
                <w:rFonts w:ascii="TH Sarabun New" w:hAnsi="TH Sarabun New" w:cs="TH Sarabun New" w:eastAsia="TH Sarabun New"/>
                <w:b w:val="0"/>
                <w:i w:val="0"/>
                <w:sz w:val="26"/>
                <w:szCs w:val="26"/>
              </w:rPr>
              <w:t>ISO/IEC 27001 · PDPA · Privacy by Design</w:t>
            </w:r>
          </w:p>
        </w:tc>
        <w:tc>
          <w:tcPr>
            <w:tcW w:type="dxa" w:w="3685"/>
            <w:vAlign w:val="top"/>
          </w:tcPr>
          <w:p>
            <w:pPr>
              <w:spacing w:after="0" w:line="240" w:lineRule="auto"/>
              <w:jc w:val="left"/>
            </w:pPr>
            <w:r/>
            <w:r>
              <w:rPr>
                <w:rFonts w:ascii="TH Sarabun New" w:hAnsi="TH Sarabun New" w:cs="TH Sarabun New" w:eastAsia="TH Sarabun New"/>
                <w:b w:val="0"/>
                <w:i w:val="0"/>
                <w:sz w:val="26"/>
                <w:szCs w:val="26"/>
              </w:rPr>
              <w:t>ระบบบริหารความมั่นคงปลอดภัย · คุ้มครองข้อมูลส่วนบุคคล</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สถาปัตยกรรมข้อมูลที่เสนอประกอบด้วย ชั้นข้อมูลเปิด (MOT Data Catalog 2.0) ที่บังคับให้ผู้ให้บริการส่งข้อมูล GTFS/GBFS แบบเรียลไทม์ ชั้น API Gateway กลางที่ใช้ OAuth2 และ ThaID และชั้นบริการ (MaaS App และแอปต่อยอดของภาคเอกชน) โดยมีการกำกับดูแลธรรมาภิบาลข้อมูลภายใต้พระราชบัญญัติคุ้มครองข้อมูลส่วนบุคคล พ.ศ. 2562 และการแต่งตั้งเจ้าหน้าที่คุ้มครองข้อมูลส่วนบุคคล (DPO)</w:t>
      </w:r>
    </w:p>
    <w:p>
      <w:pPr>
        <w:keepNext/>
        <w:spacing w:before="160" w:after="40"/>
        <w:jc w:val="center"/>
      </w:pPr>
      <w:r>
        <w:rPr>
          <w:rFonts w:ascii="TH Sarabun New" w:hAnsi="TH Sarabun New" w:cs="TH Sarabun New" w:eastAsia="TH Sarabun New"/>
          <w:b/>
          <w:i w:val="0"/>
          <w:sz w:val="28"/>
          <w:szCs w:val="28"/>
        </w:rPr>
        <w:t>ตาราง ง-2  สถาปัตยกรรมข้อมูลระบบตั๋วร่วมและ MaaS 4 ชั้น</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1984"/>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ชั้นสถาปัตยกรรม</w:t>
            </w:r>
          </w:p>
        </w:tc>
        <w:tc>
          <w:tcPr>
            <w:tcW w:type="dxa" w:w="2835"/>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องค์ประกอบ</w:t>
            </w:r>
          </w:p>
        </w:tc>
        <w:tc>
          <w:tcPr>
            <w:tcW w:type="dxa" w:w="3402"/>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หน้าที่</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ชั้นข้อมูล (Data)</w:t>
            </w:r>
          </w:p>
        </w:tc>
        <w:tc>
          <w:tcPr>
            <w:tcW w:type="dxa" w:w="2835"/>
            <w:vAlign w:val="top"/>
          </w:tcPr>
          <w:p>
            <w:pPr>
              <w:spacing w:after="0" w:line="240" w:lineRule="auto"/>
              <w:jc w:val="left"/>
            </w:pPr>
            <w:r/>
            <w:r>
              <w:rPr>
                <w:rFonts w:ascii="TH Sarabun New" w:hAnsi="TH Sarabun New" w:cs="TH Sarabun New" w:eastAsia="TH Sarabun New"/>
                <w:b w:val="0"/>
                <w:i w:val="0"/>
                <w:sz w:val="26"/>
                <w:szCs w:val="26"/>
              </w:rPr>
              <w:t>MOT Data Catalog 2.0</w:t>
            </w:r>
          </w:p>
        </w:tc>
        <w:tc>
          <w:tcPr>
            <w:tcW w:type="dxa" w:w="3402"/>
            <w:vAlign w:val="top"/>
          </w:tcPr>
          <w:p>
            <w:pPr>
              <w:spacing w:after="0" w:line="240" w:lineRule="auto"/>
              <w:jc w:val="left"/>
            </w:pPr>
            <w:r/>
            <w:r>
              <w:rPr>
                <w:rFonts w:ascii="TH Sarabun New" w:hAnsi="TH Sarabun New" w:cs="TH Sarabun New" w:eastAsia="TH Sarabun New"/>
                <w:b w:val="0"/>
                <w:i w:val="0"/>
                <w:sz w:val="26"/>
                <w:szCs w:val="26"/>
              </w:rPr>
              <w:t>รวบรวมข้อมูล GTFS/GBFS/GTFS-RT จากผู้ให้บริการ</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ชั้นเชื่อมต่อ (API)</w:t>
            </w:r>
          </w:p>
        </w:tc>
        <w:tc>
          <w:tcPr>
            <w:tcW w:type="dxa" w:w="2835"/>
            <w:vAlign w:val="top"/>
          </w:tcPr>
          <w:p>
            <w:pPr>
              <w:spacing w:after="0" w:line="240" w:lineRule="auto"/>
              <w:jc w:val="left"/>
            </w:pPr>
            <w:r/>
            <w:r>
              <w:rPr>
                <w:rFonts w:ascii="TH Sarabun New" w:hAnsi="TH Sarabun New" w:cs="TH Sarabun New" w:eastAsia="TH Sarabun New"/>
                <w:b w:val="0"/>
                <w:i w:val="0"/>
                <w:sz w:val="26"/>
                <w:szCs w:val="26"/>
              </w:rPr>
              <w:t>API Gateway · OAuth2 · ThaID</w:t>
            </w:r>
          </w:p>
        </w:tc>
        <w:tc>
          <w:tcPr>
            <w:tcW w:type="dxa" w:w="3402"/>
            <w:vAlign w:val="top"/>
          </w:tcPr>
          <w:p>
            <w:pPr>
              <w:spacing w:after="0" w:line="240" w:lineRule="auto"/>
              <w:jc w:val="left"/>
            </w:pPr>
            <w:r/>
            <w:r>
              <w:rPr>
                <w:rFonts w:ascii="TH Sarabun New" w:hAnsi="TH Sarabun New" w:cs="TH Sarabun New" w:eastAsia="TH Sarabun New"/>
                <w:b w:val="0"/>
                <w:i w:val="0"/>
                <w:sz w:val="26"/>
                <w:szCs w:val="26"/>
              </w:rPr>
              <w:t>ให้บริการข้อมูลและยืนยันตัวตนอย่างปลอดภัย</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ชั้นบริการ (Service)</w:t>
            </w:r>
          </w:p>
        </w:tc>
        <w:tc>
          <w:tcPr>
            <w:tcW w:type="dxa" w:w="2835"/>
            <w:vAlign w:val="top"/>
          </w:tcPr>
          <w:p>
            <w:pPr>
              <w:spacing w:after="0" w:line="240" w:lineRule="auto"/>
              <w:jc w:val="left"/>
            </w:pPr>
            <w:r/>
            <w:r>
              <w:rPr>
                <w:rFonts w:ascii="TH Sarabun New" w:hAnsi="TH Sarabun New" w:cs="TH Sarabun New" w:eastAsia="TH Sarabun New"/>
                <w:b w:val="0"/>
                <w:i w:val="0"/>
                <w:sz w:val="26"/>
                <w:szCs w:val="26"/>
              </w:rPr>
              <w:t>MaaS App · Third-party Apps</w:t>
            </w:r>
          </w:p>
        </w:tc>
        <w:tc>
          <w:tcPr>
            <w:tcW w:type="dxa" w:w="3402"/>
            <w:vAlign w:val="top"/>
          </w:tcPr>
          <w:p>
            <w:pPr>
              <w:spacing w:after="0" w:line="240" w:lineRule="auto"/>
              <w:jc w:val="left"/>
            </w:pPr>
            <w:r/>
            <w:r>
              <w:rPr>
                <w:rFonts w:ascii="TH Sarabun New" w:hAnsi="TH Sarabun New" w:cs="TH Sarabun New" w:eastAsia="TH Sarabun New"/>
                <w:b w:val="0"/>
                <w:i w:val="0"/>
                <w:sz w:val="26"/>
                <w:szCs w:val="26"/>
              </w:rPr>
              <w:t>วางแผน จอง ชำระเงิน และให้บริการผู้ใช้</w:t>
            </w:r>
          </w:p>
        </w:tc>
      </w:tr>
      <w:tr>
        <w:trPr>
          <w:cantSplit/>
        </w:trPr>
        <w:tc>
          <w:tcPr>
            <w:tcW w:type="dxa" w:w="1984"/>
            <w:vAlign w:val="top"/>
          </w:tcPr>
          <w:p>
            <w:pPr>
              <w:spacing w:after="0" w:line="240" w:lineRule="auto"/>
              <w:jc w:val="left"/>
            </w:pPr>
            <w:r/>
            <w:r>
              <w:rPr>
                <w:rFonts w:ascii="TH Sarabun New" w:hAnsi="TH Sarabun New" w:cs="TH Sarabun New" w:eastAsia="TH Sarabun New"/>
                <w:b w:val="0"/>
                <w:i w:val="0"/>
                <w:sz w:val="26"/>
                <w:szCs w:val="26"/>
              </w:rPr>
              <w:t>ชั้นกำกับ (Governance)</w:t>
            </w:r>
          </w:p>
        </w:tc>
        <w:tc>
          <w:tcPr>
            <w:tcW w:type="dxa" w:w="2835"/>
            <w:vAlign w:val="top"/>
          </w:tcPr>
          <w:p>
            <w:pPr>
              <w:spacing w:after="0" w:line="240" w:lineRule="auto"/>
              <w:jc w:val="left"/>
            </w:pPr>
            <w:r/>
            <w:r>
              <w:rPr>
                <w:rFonts w:ascii="TH Sarabun New" w:hAnsi="TH Sarabun New" w:cs="TH Sarabun New" w:eastAsia="TH Sarabun New"/>
                <w:b w:val="0"/>
                <w:i w:val="0"/>
                <w:sz w:val="26"/>
                <w:szCs w:val="26"/>
              </w:rPr>
              <w:t>NTCH · DPO · ISO 27001</w:t>
            </w:r>
          </w:p>
        </w:tc>
        <w:tc>
          <w:tcPr>
            <w:tcW w:type="dxa" w:w="3402"/>
            <w:vAlign w:val="top"/>
          </w:tcPr>
          <w:p>
            <w:pPr>
              <w:spacing w:after="0" w:line="240" w:lineRule="auto"/>
              <w:jc w:val="left"/>
            </w:pPr>
            <w:r/>
            <w:r>
              <w:rPr>
                <w:rFonts w:ascii="TH Sarabun New" w:hAnsi="TH Sarabun New" w:cs="TH Sarabun New" w:eastAsia="TH Sarabun New"/>
                <w:b w:val="0"/>
                <w:i w:val="0"/>
                <w:sz w:val="26"/>
                <w:szCs w:val="26"/>
              </w:rPr>
              <w:t>กำกับมาตรฐาน ความมั่นคงปลอดภัย และการคุ้มครองข้อมูล</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การออกแบบสถาปัตยกรรมแบบเปิด (Open Architecture) และการใช้มาตรฐานสากลช่วยลดการผูกขาดกับผู้ขายรายใดรายหนึ่ง (Vendor Lock-in) เปิดโอกาสให้เกิดการแข่งขันและนวัตกรรม ตลอดจนรองรับการขยายระบบไปยังจังหวัดอื่นในอนาคตได้อย่างยืดหยุ่น</w:t>
      </w:r>
    </w:p>
    <w:p>
      <w:r>
        <w:br w:type="page"/>
      </w:r>
    </w:p>
    <w:p>
      <w:pPr>
        <w:keepNext/>
        <w:spacing w:before="0" w:after="200" w:line="240" w:lineRule="auto"/>
        <w:jc w:val="left"/>
      </w:pPr>
      <w:r>
        <w:rPr>
          <w:rFonts w:ascii="TH Sarabun New" w:hAnsi="TH Sarabun New" w:cs="TH Sarabun New" w:eastAsia="TH Sarabun New"/>
          <w:b/>
          <w:i w:val="0"/>
          <w:color w:val="1F3D6E"/>
          <w:sz w:val="36"/>
          <w:szCs w:val="36"/>
        </w:rPr>
        <w:t>ภาคผนวก จ  ข้อมูลพื้นที่จังหวัดสมุทรปราการ</w:t>
      </w:r>
    </w:p>
    <w:p>
      <w:pPr>
        <w:spacing w:line="240" w:lineRule="auto" w:after="0"/>
        <w:ind w:firstLine="720"/>
        <w:jc w:val="left"/>
      </w:pPr>
      <w:r>
        <w:rPr>
          <w:rFonts w:ascii="TH Sarabun New" w:hAnsi="TH Sarabun New" w:cs="TH Sarabun New" w:eastAsia="TH Sarabun New"/>
          <w:b w:val="0"/>
          <w:i w:val="0"/>
          <w:sz w:val="32"/>
          <w:szCs w:val="32"/>
        </w:rPr>
        <w:t>ภาคผนวกนี้รวบรวมข้อมูลพื้นฐานของจังหวัดสมุทรปราการที่ใช้ประกอบการเลือกเป็นพื้นที่นำร่อง</w:t>
      </w:r>
    </w:p>
    <w:p>
      <w:pPr>
        <w:keepNext/>
        <w:spacing w:before="160" w:after="40"/>
        <w:jc w:val="center"/>
      </w:pPr>
      <w:r>
        <w:rPr>
          <w:rFonts w:ascii="TH Sarabun New" w:hAnsi="TH Sarabun New" w:cs="TH Sarabun New" w:eastAsia="TH Sarabun New"/>
          <w:b/>
          <w:i w:val="0"/>
          <w:sz w:val="28"/>
          <w:szCs w:val="28"/>
        </w:rPr>
        <w:t>ตาราง จ-1  ข้อมูลพื้นฐานจังหวัดสมุทรปราการ</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226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รายการ</w:t>
            </w:r>
          </w:p>
        </w:tc>
        <w:tc>
          <w:tcPr>
            <w:tcW w:type="dxa" w:w="5953"/>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ข้อมูล</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ประชากรทะเบียน</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ประมาณ 1.36 ล้านคน (รวมประชากรแฝงหลายแสนคน)</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จำนวนอำเภอ</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6 อำเภอ (เมืองสมุทรปราการ บางพลี บางบ่อ บางเสาธง พระประแดง พระสมุทรเจดีย์)</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โครงข่ายราง</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BTS สายสีเขียวเข้ม (สำโรง-เคหะฯ) · MRT สายสีเหลือง (ปลายทางสำโรง) · ARL (สุวรรณภูมิ)</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นิคมอุตสาหกรรม</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บางปู และบางพลี รวมแรงงานกว่า 100,000 คน</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ปริมาณจราจร (AADT)</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ถนนสุขุมวิทและบางนา-ตราด มากกว่า 100,000-150,000 คัน/วัน</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ความเสี่ยงภูมิอากาศ</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พื้นที่ลุ่มต่ำชายฝั่ง · แผ่นดินทรุด · น้ำทะเลหนุน · น้ำท่วม</w:t>
            </w:r>
          </w:p>
        </w:tc>
      </w:tr>
    </w:tbl>
    <w:p>
      <w:pPr>
        <w:spacing w:after="120"/>
      </w:pPr>
    </w:p>
    <w:p>
      <w:pPr>
        <w:keepNext/>
        <w:spacing w:before="160" w:after="40"/>
        <w:jc w:val="center"/>
      </w:pPr>
      <w:r>
        <w:rPr>
          <w:rFonts w:ascii="TH Sarabun New" w:hAnsi="TH Sarabun New" w:cs="TH Sarabun New" w:eastAsia="TH Sarabun New"/>
          <w:b/>
          <w:i w:val="0"/>
          <w:sz w:val="28"/>
          <w:szCs w:val="28"/>
        </w:rPr>
        <w:t>ตาราง จ-2  โครงข่ายระบบขนส่งในจังหวัดสมุทรปราการ</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255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ระบบขนส่ง</w:t>
            </w:r>
          </w:p>
        </w:tc>
        <w:tc>
          <w:tcPr>
            <w:tcW w:type="dxa" w:w="5669"/>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รายละเอียดในพื้นที่จังหวัดสมุทรปราการ</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BTS สายสีเขียวเข้ม</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ช่วงสำโรง-เคหะสมุทรปราการ 9 สถานี (เปิดให้บริการ ธันวาคม 2561)</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MRT สายสีเหลือง</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ปลายทางสถานีสำโรง เชื่อมต่อ BTS (เปิดให้บริการ มิถุนายน 2566)</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รถไฟฟ้าแอร์พอร์ตเรลลิงก์</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สถานีสุวรรณภูมิ ในอำเภอบางพลี</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รถไฟสายตะวันออก</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การรถไฟแห่งประเทศไทย ผ่านพื้นที่จังหวัด</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รถโดยสารประจำทาง</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องค์การขนส่งมวลชนกรุงเทพ (ขสมก.) และรถร่วมบริการ</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เรือโดยสาร</w:t>
            </w:r>
          </w:p>
        </w:tc>
        <w:tc>
          <w:tcPr>
            <w:tcW w:type="dxa" w:w="5669"/>
            <w:vAlign w:val="top"/>
          </w:tcPr>
          <w:p>
            <w:pPr>
              <w:spacing w:after="0" w:line="240" w:lineRule="auto"/>
              <w:jc w:val="left"/>
            </w:pPr>
            <w:r/>
            <w:r>
              <w:rPr>
                <w:rFonts w:ascii="TH Sarabun New" w:hAnsi="TH Sarabun New" w:cs="TH Sarabun New" w:eastAsia="TH Sarabun New"/>
                <w:b w:val="0"/>
                <w:i w:val="0"/>
                <w:sz w:val="26"/>
                <w:szCs w:val="26"/>
              </w:rPr>
              <w:t>เส้นทางในคลองและชายฝั่ง เช่น คลองด่าน</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ด้านความเสี่ยงภูมิอากาศ จังหวัดสมุทรปราการเผชิญปัญหาแผ่นดินทรุดเฉลี่ยประมาณ 1 เซนติเมตรต่อปี ระดับน้ำทะเลที่สูงขึ้น และความเสี่ยงน้ำท่วมจากน้ำฝนและน้ำทะเลหนุน ปัจจัยเหล่านี้ต้องนำมาพิจารณาในการออกแบบโครงสร้างพื้นฐานขนส่งให้มีภูมิคุ้มกันด้านภูมิอากาศ (Climate Resilience) เช่น การยกระดับอู่จอดและสถานี การออกแบบทางเท้าและพื้นที่สาธารณะให้ระบายน้ำได้ดี และการวางระบบ MaaS ที่รองรับการแจ้งเตือนน้ำท่วม (Flood-aware Routing)</w:t>
      </w:r>
    </w:p>
    <w:p>
      <w:pPr>
        <w:keepNext/>
        <w:spacing w:before="160" w:after="40"/>
        <w:jc w:val="center"/>
      </w:pPr>
      <w:r>
        <w:rPr>
          <w:rFonts w:ascii="TH Sarabun New" w:hAnsi="TH Sarabun New" w:cs="TH Sarabun New" w:eastAsia="TH Sarabun New"/>
          <w:b/>
          <w:i w:val="0"/>
          <w:sz w:val="28"/>
          <w:szCs w:val="28"/>
        </w:rPr>
        <w:t>ตาราง จ-3  ตัวชี้วัดเชิงพื้นที่ที่สนับสนุนการเลือกพื้นที่นำร่อง</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255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ตัวชี้วัดพื้นที่</w:t>
            </w:r>
          </w:p>
        </w:tc>
        <w:tc>
          <w:tcPr>
            <w:tcW w:type="dxa" w:w="255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ค่าโดยประมาณ</w:t>
            </w:r>
          </w:p>
        </w:tc>
        <w:tc>
          <w:tcPr>
            <w:tcW w:type="dxa" w:w="311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นัยต่อโครงการ</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ความหนาแน่นประชากร</w:t>
            </w:r>
          </w:p>
        </w:tc>
        <w:tc>
          <w:tcPr>
            <w:tcW w:type="dxa" w:w="2551"/>
            <w:vAlign w:val="top"/>
          </w:tcPr>
          <w:p>
            <w:pPr>
              <w:spacing w:after="0" w:line="240" w:lineRule="auto"/>
              <w:jc w:val="left"/>
            </w:pPr>
            <w:r/>
            <w:r>
              <w:rPr>
                <w:rFonts w:ascii="TH Sarabun New" w:hAnsi="TH Sarabun New" w:cs="TH Sarabun New" w:eastAsia="TH Sarabun New"/>
                <w:b w:val="0"/>
                <w:i w:val="0"/>
                <w:sz w:val="26"/>
                <w:szCs w:val="26"/>
              </w:rPr>
              <w:t>สูงในเขตเมืองและแนวรถไฟฟ้า</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ศักยภาพรองรับขนส่งสาธารณะสูง</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ผลิตภัณฑ์มวลรวมต่อหัว (GPP/capita)</w:t>
            </w:r>
          </w:p>
        </w:tc>
        <w:tc>
          <w:tcPr>
            <w:tcW w:type="dxa" w:w="2551"/>
            <w:vAlign w:val="top"/>
          </w:tcPr>
          <w:p>
            <w:pPr>
              <w:spacing w:after="0" w:line="240" w:lineRule="auto"/>
              <w:jc w:val="left"/>
            </w:pPr>
            <w:r/>
            <w:r>
              <w:rPr>
                <w:rFonts w:ascii="TH Sarabun New" w:hAnsi="TH Sarabun New" w:cs="TH Sarabun New" w:eastAsia="TH Sarabun New"/>
                <w:b w:val="0"/>
                <w:i w:val="0"/>
                <w:sz w:val="26"/>
                <w:szCs w:val="26"/>
              </w:rPr>
              <w:t>ประมาณ 311,000 บาท/ปี</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กำลังซื้อและความเต็มใจจ่ายในระดับดี</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แรงงานในนิคมอุตสาหกรรม</w:t>
            </w:r>
          </w:p>
        </w:tc>
        <w:tc>
          <w:tcPr>
            <w:tcW w:type="dxa" w:w="2551"/>
            <w:vAlign w:val="top"/>
          </w:tcPr>
          <w:p>
            <w:pPr>
              <w:spacing w:after="0" w:line="240" w:lineRule="auto"/>
              <w:jc w:val="left"/>
            </w:pPr>
            <w:r/>
            <w:r>
              <w:rPr>
                <w:rFonts w:ascii="TH Sarabun New" w:hAnsi="TH Sarabun New" w:cs="TH Sarabun New" w:eastAsia="TH Sarabun New"/>
                <w:b w:val="0"/>
                <w:i w:val="0"/>
                <w:sz w:val="26"/>
                <w:szCs w:val="26"/>
              </w:rPr>
              <w:t>มากกว่า 100,000 คน</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อุปสงค์การเดินทางแบบกะตลอดวัน</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อัตราแผ่นดินทรุด</w:t>
            </w:r>
          </w:p>
        </w:tc>
        <w:tc>
          <w:tcPr>
            <w:tcW w:type="dxa" w:w="2551"/>
            <w:vAlign w:val="top"/>
          </w:tcPr>
          <w:p>
            <w:pPr>
              <w:spacing w:after="0" w:line="240" w:lineRule="auto"/>
              <w:jc w:val="left"/>
            </w:pPr>
            <w:r/>
            <w:r>
              <w:rPr>
                <w:rFonts w:ascii="TH Sarabun New" w:hAnsi="TH Sarabun New" w:cs="TH Sarabun New" w:eastAsia="TH Sarabun New"/>
                <w:b w:val="0"/>
                <w:i w:val="0"/>
                <w:sz w:val="26"/>
                <w:szCs w:val="26"/>
              </w:rPr>
              <w:t>~1 ซม./ปี</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ต้องออกแบบโครงสร้างให้รองรับ</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ระยะถึงสนามบินสุวรรณภูมิ</w:t>
            </w:r>
          </w:p>
        </w:tc>
        <w:tc>
          <w:tcPr>
            <w:tcW w:type="dxa" w:w="2551"/>
            <w:vAlign w:val="top"/>
          </w:tcPr>
          <w:p>
            <w:pPr>
              <w:spacing w:after="0" w:line="240" w:lineRule="auto"/>
              <w:jc w:val="left"/>
            </w:pPr>
            <w:r/>
            <w:r>
              <w:rPr>
                <w:rFonts w:ascii="TH Sarabun New" w:hAnsi="TH Sarabun New" w:cs="TH Sarabun New" w:eastAsia="TH Sarabun New"/>
                <w:b w:val="0"/>
                <w:i w:val="0"/>
                <w:sz w:val="26"/>
                <w:szCs w:val="26"/>
              </w:rPr>
              <w:t>ใกล้ (ในเขตบางพลี)</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โอกาสเชื่อมต่อการเดินทางระหว่างประเทศ</w:t>
            </w:r>
          </w:p>
        </w:tc>
      </w:tr>
    </w:tbl>
    <w:p>
      <w:pPr>
        <w:spacing w:after="120"/>
      </w:pPr>
    </w:p>
    <w:p>
      <w:r>
        <w:br w:type="page"/>
      </w:r>
    </w:p>
    <w:p>
      <w:pPr>
        <w:keepNext/>
        <w:spacing w:before="0" w:after="200" w:line="240" w:lineRule="auto"/>
        <w:jc w:val="left"/>
      </w:pPr>
      <w:r>
        <w:rPr>
          <w:rFonts w:ascii="TH Sarabun New" w:hAnsi="TH Sarabun New" w:cs="TH Sarabun New" w:eastAsia="TH Sarabun New"/>
          <w:b/>
          <w:i w:val="0"/>
          <w:color w:val="1F3D6E"/>
          <w:sz w:val="36"/>
          <w:szCs w:val="36"/>
        </w:rPr>
        <w:t>ภาคผนวก ฉ  แผนปฏิบัติการและตารางความรับผิดชอบ (RACI)</w:t>
      </w:r>
    </w:p>
    <w:p>
      <w:pPr>
        <w:spacing w:line="240" w:lineRule="auto" w:after="0"/>
        <w:ind w:firstLine="720"/>
        <w:jc w:val="left"/>
      </w:pPr>
      <w:r>
        <w:rPr>
          <w:rFonts w:ascii="TH Sarabun New" w:hAnsi="TH Sarabun New" w:cs="TH Sarabun New" w:eastAsia="TH Sarabun New"/>
          <w:b w:val="0"/>
          <w:i w:val="0"/>
          <w:sz w:val="32"/>
          <w:szCs w:val="32"/>
        </w:rPr>
        <w:t>ตารางความรับผิดชอบ (RACI Matrix) ระบุบทบาทของหน่วยงานในแต่ละกิจกรรมหลัก โดย R = ผู้ลงมือทำ A = ผู้รับผิดชอบหลัก C = ผู้ให้คำปรึกษา และ I = ผู้รับทราบ</w:t>
      </w:r>
    </w:p>
    <w:p>
      <w:pPr>
        <w:keepNext/>
        <w:spacing w:before="160" w:after="40"/>
        <w:jc w:val="center"/>
      </w:pPr>
      <w:r>
        <w:rPr>
          <w:rFonts w:ascii="TH Sarabun New" w:hAnsi="TH Sarabun New" w:cs="TH Sarabun New" w:eastAsia="TH Sarabun New"/>
          <w:b/>
          <w:i w:val="0"/>
          <w:sz w:val="28"/>
          <w:szCs w:val="28"/>
        </w:rPr>
        <w:t>ตาราง ฉ-1  ตารางความรับผิดชอบ (RACI Matrix)</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1384"/>
        <w:gridCol w:w="1384"/>
        <w:gridCol w:w="1384"/>
        <w:gridCol w:w="1384"/>
        <w:gridCol w:w="1384"/>
        <w:gridCol w:w="1384"/>
      </w:tblGrid>
      <w:tr>
        <w:tc>
          <w:tcPr>
            <w:tcW w:type="dxa" w:w="238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กิจกรรม</w:t>
            </w:r>
          </w:p>
        </w:tc>
        <w:tc>
          <w:tcPr>
            <w:tcW w:type="dxa" w:w="1134"/>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สนข.</w:t>
            </w:r>
          </w:p>
        </w:tc>
        <w:tc>
          <w:tcPr>
            <w:tcW w:type="dxa" w:w="1134"/>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กรมราง</w:t>
            </w:r>
          </w:p>
        </w:tc>
        <w:tc>
          <w:tcPr>
            <w:tcW w:type="dxa" w:w="1020"/>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คลัง</w:t>
            </w:r>
          </w:p>
        </w:tc>
        <w:tc>
          <w:tcPr>
            <w:tcW w:type="dxa" w:w="1020"/>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อปท.</w:t>
            </w:r>
          </w:p>
        </w:tc>
        <w:tc>
          <w:tcPr>
            <w:tcW w:type="dxa" w:w="153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ผู้ให้บริการ</w:t>
            </w:r>
          </w:p>
        </w:tc>
      </w:tr>
      <w:tr>
        <w:trPr>
          <w:cantSplit/>
        </w:trPr>
        <w:tc>
          <w:tcPr>
            <w:tcW w:type="dxa" w:w="2381"/>
            <w:vAlign w:val="top"/>
          </w:tcPr>
          <w:p>
            <w:pPr>
              <w:spacing w:after="0" w:line="240" w:lineRule="auto"/>
              <w:jc w:val="left"/>
            </w:pPr>
            <w:r/>
            <w:r>
              <w:rPr>
                <w:rFonts w:ascii="TH Sarabun New" w:hAnsi="TH Sarabun New" w:cs="TH Sarabun New" w:eastAsia="TH Sarabun New"/>
                <w:b w:val="0"/>
                <w:i w:val="0"/>
                <w:sz w:val="26"/>
                <w:szCs w:val="26"/>
              </w:rPr>
              <w:t>ออกกฎหมายลำดับรอง</w:t>
            </w:r>
          </w:p>
        </w:tc>
        <w:tc>
          <w:tcPr>
            <w:tcW w:type="dxa" w:w="1134"/>
            <w:vAlign w:val="top"/>
          </w:tcPr>
          <w:p>
            <w:pPr>
              <w:spacing w:after="0" w:line="240" w:lineRule="auto"/>
              <w:jc w:val="left"/>
            </w:pPr>
            <w:r/>
            <w:r>
              <w:rPr>
                <w:rFonts w:ascii="TH Sarabun New" w:hAnsi="TH Sarabun New" w:cs="TH Sarabun New" w:eastAsia="TH Sarabun New"/>
                <w:b w:val="0"/>
                <w:i w:val="0"/>
                <w:sz w:val="26"/>
                <w:szCs w:val="26"/>
              </w:rPr>
              <w:t>A/R</w:t>
            </w:r>
          </w:p>
        </w:tc>
        <w:tc>
          <w:tcPr>
            <w:tcW w:type="dxa" w:w="1134"/>
            <w:vAlign w:val="top"/>
          </w:tcPr>
          <w:p>
            <w:pPr>
              <w:spacing w:after="0" w:line="240" w:lineRule="auto"/>
              <w:jc w:val="left"/>
            </w:pPr>
            <w:r/>
            <w:r>
              <w:rPr>
                <w:rFonts w:ascii="TH Sarabun New" w:hAnsi="TH Sarabun New" w:cs="TH Sarabun New" w:eastAsia="TH Sarabun New"/>
                <w:b w:val="0"/>
                <w:i w:val="0"/>
                <w:sz w:val="26"/>
                <w:szCs w:val="26"/>
              </w:rPr>
              <w:t>C</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C</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I</w:t>
            </w:r>
          </w:p>
        </w:tc>
        <w:tc>
          <w:tcPr>
            <w:tcW w:type="dxa" w:w="1531"/>
            <w:vAlign w:val="top"/>
          </w:tcPr>
          <w:p>
            <w:pPr>
              <w:spacing w:after="0" w:line="240" w:lineRule="auto"/>
              <w:jc w:val="left"/>
            </w:pPr>
            <w:r/>
            <w:r>
              <w:rPr>
                <w:rFonts w:ascii="TH Sarabun New" w:hAnsi="TH Sarabun New" w:cs="TH Sarabun New" w:eastAsia="TH Sarabun New"/>
                <w:b w:val="0"/>
                <w:i w:val="0"/>
                <w:sz w:val="26"/>
                <w:szCs w:val="26"/>
              </w:rPr>
              <w:t>I</w:t>
            </w:r>
          </w:p>
        </w:tc>
      </w:tr>
      <w:tr>
        <w:trPr>
          <w:cantSplit/>
        </w:trPr>
        <w:tc>
          <w:tcPr>
            <w:tcW w:type="dxa" w:w="2381"/>
            <w:vAlign w:val="top"/>
          </w:tcPr>
          <w:p>
            <w:pPr>
              <w:spacing w:after="0" w:line="240" w:lineRule="auto"/>
              <w:jc w:val="left"/>
            </w:pPr>
            <w:r/>
            <w:r>
              <w:rPr>
                <w:rFonts w:ascii="TH Sarabun New" w:hAnsi="TH Sarabun New" w:cs="TH Sarabun New" w:eastAsia="TH Sarabun New"/>
                <w:b w:val="0"/>
                <w:i w:val="0"/>
                <w:sz w:val="26"/>
                <w:szCs w:val="26"/>
              </w:rPr>
              <w:t>จัดตั้ง NTCH</w:t>
            </w:r>
          </w:p>
        </w:tc>
        <w:tc>
          <w:tcPr>
            <w:tcW w:type="dxa" w:w="1134"/>
            <w:vAlign w:val="top"/>
          </w:tcPr>
          <w:p>
            <w:pPr>
              <w:spacing w:after="0" w:line="240" w:lineRule="auto"/>
              <w:jc w:val="left"/>
            </w:pPr>
            <w:r/>
            <w:r>
              <w:rPr>
                <w:rFonts w:ascii="TH Sarabun New" w:hAnsi="TH Sarabun New" w:cs="TH Sarabun New" w:eastAsia="TH Sarabun New"/>
                <w:b w:val="0"/>
                <w:i w:val="0"/>
                <w:sz w:val="26"/>
                <w:szCs w:val="26"/>
              </w:rPr>
              <w:t>A</w:t>
            </w:r>
          </w:p>
        </w:tc>
        <w:tc>
          <w:tcPr>
            <w:tcW w:type="dxa" w:w="1134"/>
            <w:vAlign w:val="top"/>
          </w:tcPr>
          <w:p>
            <w:pPr>
              <w:spacing w:after="0" w:line="240" w:lineRule="auto"/>
              <w:jc w:val="left"/>
            </w:pPr>
            <w:r/>
            <w:r>
              <w:rPr>
                <w:rFonts w:ascii="TH Sarabun New" w:hAnsi="TH Sarabun New" w:cs="TH Sarabun New" w:eastAsia="TH Sarabun New"/>
                <w:b w:val="0"/>
                <w:i w:val="0"/>
                <w:sz w:val="26"/>
                <w:szCs w:val="26"/>
              </w:rPr>
              <w:t>R</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C</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I</w:t>
            </w:r>
          </w:p>
        </w:tc>
        <w:tc>
          <w:tcPr>
            <w:tcW w:type="dxa" w:w="1531"/>
            <w:vAlign w:val="top"/>
          </w:tcPr>
          <w:p>
            <w:pPr>
              <w:spacing w:after="0" w:line="240" w:lineRule="auto"/>
              <w:jc w:val="left"/>
            </w:pPr>
            <w:r/>
            <w:r>
              <w:rPr>
                <w:rFonts w:ascii="TH Sarabun New" w:hAnsi="TH Sarabun New" w:cs="TH Sarabun New" w:eastAsia="TH Sarabun New"/>
                <w:b w:val="0"/>
                <w:i w:val="0"/>
                <w:sz w:val="26"/>
                <w:szCs w:val="26"/>
              </w:rPr>
              <w:t>C</w:t>
            </w:r>
          </w:p>
        </w:tc>
      </w:tr>
      <w:tr>
        <w:trPr>
          <w:cantSplit/>
        </w:trPr>
        <w:tc>
          <w:tcPr>
            <w:tcW w:type="dxa" w:w="2381"/>
            <w:vAlign w:val="top"/>
          </w:tcPr>
          <w:p>
            <w:pPr>
              <w:spacing w:after="0" w:line="240" w:lineRule="auto"/>
              <w:jc w:val="left"/>
            </w:pPr>
            <w:r/>
            <w:r>
              <w:rPr>
                <w:rFonts w:ascii="TH Sarabun New" w:hAnsi="TH Sarabun New" w:cs="TH Sarabun New" w:eastAsia="TH Sarabun New"/>
                <w:b w:val="0"/>
                <w:i w:val="0"/>
                <w:sz w:val="26"/>
                <w:szCs w:val="26"/>
              </w:rPr>
              <w:t>EMV migration</w:t>
            </w:r>
          </w:p>
        </w:tc>
        <w:tc>
          <w:tcPr>
            <w:tcW w:type="dxa" w:w="1134"/>
            <w:vAlign w:val="top"/>
          </w:tcPr>
          <w:p>
            <w:pPr>
              <w:spacing w:after="0" w:line="240" w:lineRule="auto"/>
              <w:jc w:val="left"/>
            </w:pPr>
            <w:r/>
            <w:r>
              <w:rPr>
                <w:rFonts w:ascii="TH Sarabun New" w:hAnsi="TH Sarabun New" w:cs="TH Sarabun New" w:eastAsia="TH Sarabun New"/>
                <w:b w:val="0"/>
                <w:i w:val="0"/>
                <w:sz w:val="26"/>
                <w:szCs w:val="26"/>
              </w:rPr>
              <w:t>A</w:t>
            </w:r>
          </w:p>
        </w:tc>
        <w:tc>
          <w:tcPr>
            <w:tcW w:type="dxa" w:w="1134"/>
            <w:vAlign w:val="top"/>
          </w:tcPr>
          <w:p>
            <w:pPr>
              <w:spacing w:after="0" w:line="240" w:lineRule="auto"/>
              <w:jc w:val="left"/>
            </w:pPr>
            <w:r/>
            <w:r>
              <w:rPr>
                <w:rFonts w:ascii="TH Sarabun New" w:hAnsi="TH Sarabun New" w:cs="TH Sarabun New" w:eastAsia="TH Sarabun New"/>
                <w:b w:val="0"/>
                <w:i w:val="0"/>
                <w:sz w:val="26"/>
                <w:szCs w:val="26"/>
              </w:rPr>
              <w:t>R</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I</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I</w:t>
            </w:r>
          </w:p>
        </w:tc>
        <w:tc>
          <w:tcPr>
            <w:tcW w:type="dxa" w:w="1531"/>
            <w:vAlign w:val="top"/>
          </w:tcPr>
          <w:p>
            <w:pPr>
              <w:spacing w:after="0" w:line="240" w:lineRule="auto"/>
              <w:jc w:val="left"/>
            </w:pPr>
            <w:r/>
            <w:r>
              <w:rPr>
                <w:rFonts w:ascii="TH Sarabun New" w:hAnsi="TH Sarabun New" w:cs="TH Sarabun New" w:eastAsia="TH Sarabun New"/>
                <w:b w:val="0"/>
                <w:i w:val="0"/>
                <w:sz w:val="26"/>
                <w:szCs w:val="26"/>
              </w:rPr>
              <w:t>R</w:t>
            </w:r>
          </w:p>
        </w:tc>
      </w:tr>
      <w:tr>
        <w:trPr>
          <w:cantSplit/>
        </w:trPr>
        <w:tc>
          <w:tcPr>
            <w:tcW w:type="dxa" w:w="2381"/>
            <w:vAlign w:val="top"/>
          </w:tcPr>
          <w:p>
            <w:pPr>
              <w:spacing w:after="0" w:line="240" w:lineRule="auto"/>
              <w:jc w:val="left"/>
            </w:pPr>
            <w:r/>
            <w:r>
              <w:rPr>
                <w:rFonts w:ascii="TH Sarabun New" w:hAnsi="TH Sarabun New" w:cs="TH Sarabun New" w:eastAsia="TH Sarabun New"/>
                <w:b w:val="0"/>
                <w:i w:val="0"/>
                <w:sz w:val="26"/>
                <w:szCs w:val="26"/>
              </w:rPr>
              <w:t>พัฒนา MaaS App</w:t>
            </w:r>
          </w:p>
        </w:tc>
        <w:tc>
          <w:tcPr>
            <w:tcW w:type="dxa" w:w="1134"/>
            <w:vAlign w:val="top"/>
          </w:tcPr>
          <w:p>
            <w:pPr>
              <w:spacing w:after="0" w:line="240" w:lineRule="auto"/>
              <w:jc w:val="left"/>
            </w:pPr>
            <w:r/>
            <w:r>
              <w:rPr>
                <w:rFonts w:ascii="TH Sarabun New" w:hAnsi="TH Sarabun New" w:cs="TH Sarabun New" w:eastAsia="TH Sarabun New"/>
                <w:b w:val="0"/>
                <w:i w:val="0"/>
                <w:sz w:val="26"/>
                <w:szCs w:val="26"/>
              </w:rPr>
              <w:t>A/R</w:t>
            </w:r>
          </w:p>
        </w:tc>
        <w:tc>
          <w:tcPr>
            <w:tcW w:type="dxa" w:w="1134"/>
            <w:vAlign w:val="top"/>
          </w:tcPr>
          <w:p>
            <w:pPr>
              <w:spacing w:after="0" w:line="240" w:lineRule="auto"/>
              <w:jc w:val="left"/>
            </w:pPr>
            <w:r/>
            <w:r>
              <w:rPr>
                <w:rFonts w:ascii="TH Sarabun New" w:hAnsi="TH Sarabun New" w:cs="TH Sarabun New" w:eastAsia="TH Sarabun New"/>
                <w:b w:val="0"/>
                <w:i w:val="0"/>
                <w:sz w:val="26"/>
                <w:szCs w:val="26"/>
              </w:rPr>
              <w:t>C</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I</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I</w:t>
            </w:r>
          </w:p>
        </w:tc>
        <w:tc>
          <w:tcPr>
            <w:tcW w:type="dxa" w:w="1531"/>
            <w:vAlign w:val="top"/>
          </w:tcPr>
          <w:p>
            <w:pPr>
              <w:spacing w:after="0" w:line="240" w:lineRule="auto"/>
              <w:jc w:val="left"/>
            </w:pPr>
            <w:r/>
            <w:r>
              <w:rPr>
                <w:rFonts w:ascii="TH Sarabun New" w:hAnsi="TH Sarabun New" w:cs="TH Sarabun New" w:eastAsia="TH Sarabun New"/>
                <w:b w:val="0"/>
                <w:i w:val="0"/>
                <w:sz w:val="26"/>
                <w:szCs w:val="26"/>
              </w:rPr>
              <w:t>C</w:t>
            </w:r>
          </w:p>
        </w:tc>
      </w:tr>
      <w:tr>
        <w:trPr>
          <w:cantSplit/>
        </w:trPr>
        <w:tc>
          <w:tcPr>
            <w:tcW w:type="dxa" w:w="2381"/>
            <w:vAlign w:val="top"/>
          </w:tcPr>
          <w:p>
            <w:pPr>
              <w:spacing w:after="0" w:line="240" w:lineRule="auto"/>
              <w:jc w:val="left"/>
            </w:pPr>
            <w:r/>
            <w:r>
              <w:rPr>
                <w:rFonts w:ascii="TH Sarabun New" w:hAnsi="TH Sarabun New" w:cs="TH Sarabun New" w:eastAsia="TH Sarabun New"/>
                <w:b w:val="0"/>
                <w:i w:val="0"/>
                <w:sz w:val="26"/>
                <w:szCs w:val="26"/>
              </w:rPr>
              <w:t>Complete Streets</w:t>
            </w:r>
          </w:p>
        </w:tc>
        <w:tc>
          <w:tcPr>
            <w:tcW w:type="dxa" w:w="1134"/>
            <w:vAlign w:val="top"/>
          </w:tcPr>
          <w:p>
            <w:pPr>
              <w:spacing w:after="0" w:line="240" w:lineRule="auto"/>
              <w:jc w:val="left"/>
            </w:pPr>
            <w:r/>
            <w:r>
              <w:rPr>
                <w:rFonts w:ascii="TH Sarabun New" w:hAnsi="TH Sarabun New" w:cs="TH Sarabun New" w:eastAsia="TH Sarabun New"/>
                <w:b w:val="0"/>
                <w:i w:val="0"/>
                <w:sz w:val="26"/>
                <w:szCs w:val="26"/>
              </w:rPr>
              <w:t>C</w:t>
            </w:r>
          </w:p>
        </w:tc>
        <w:tc>
          <w:tcPr>
            <w:tcW w:type="dxa" w:w="1134"/>
            <w:vAlign w:val="top"/>
          </w:tcPr>
          <w:p>
            <w:pPr>
              <w:spacing w:after="0" w:line="240" w:lineRule="auto"/>
              <w:jc w:val="left"/>
            </w:pPr>
            <w:r/>
            <w:r>
              <w:rPr>
                <w:rFonts w:ascii="TH Sarabun New" w:hAnsi="TH Sarabun New" w:cs="TH Sarabun New" w:eastAsia="TH Sarabun New"/>
                <w:b w:val="0"/>
                <w:i w:val="0"/>
                <w:sz w:val="26"/>
                <w:szCs w:val="26"/>
              </w:rPr>
              <w:t>I</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I</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A/R</w:t>
            </w:r>
          </w:p>
        </w:tc>
        <w:tc>
          <w:tcPr>
            <w:tcW w:type="dxa" w:w="1531"/>
            <w:vAlign w:val="top"/>
          </w:tcPr>
          <w:p>
            <w:pPr>
              <w:spacing w:after="0" w:line="240" w:lineRule="auto"/>
              <w:jc w:val="left"/>
            </w:pPr>
            <w:r/>
            <w:r>
              <w:rPr>
                <w:rFonts w:ascii="TH Sarabun New" w:hAnsi="TH Sarabun New" w:cs="TH Sarabun New" w:eastAsia="TH Sarabun New"/>
                <w:b w:val="0"/>
                <w:i w:val="0"/>
                <w:sz w:val="26"/>
                <w:szCs w:val="26"/>
              </w:rPr>
              <w:t>I</w:t>
            </w:r>
          </w:p>
        </w:tc>
      </w:tr>
      <w:tr>
        <w:trPr>
          <w:cantSplit/>
        </w:trPr>
        <w:tc>
          <w:tcPr>
            <w:tcW w:type="dxa" w:w="2381"/>
            <w:vAlign w:val="top"/>
          </w:tcPr>
          <w:p>
            <w:pPr>
              <w:spacing w:after="0" w:line="240" w:lineRule="auto"/>
              <w:jc w:val="left"/>
            </w:pPr>
            <w:r/>
            <w:r>
              <w:rPr>
                <w:rFonts w:ascii="TH Sarabun New" w:hAnsi="TH Sarabun New" w:cs="TH Sarabun New" w:eastAsia="TH Sarabun New"/>
                <w:b w:val="0"/>
                <w:i w:val="0"/>
                <w:sz w:val="26"/>
                <w:szCs w:val="26"/>
              </w:rPr>
              <w:t>มาตรการภาษี</w:t>
            </w:r>
          </w:p>
        </w:tc>
        <w:tc>
          <w:tcPr>
            <w:tcW w:type="dxa" w:w="1134"/>
            <w:vAlign w:val="top"/>
          </w:tcPr>
          <w:p>
            <w:pPr>
              <w:spacing w:after="0" w:line="240" w:lineRule="auto"/>
              <w:jc w:val="left"/>
            </w:pPr>
            <w:r/>
            <w:r>
              <w:rPr>
                <w:rFonts w:ascii="TH Sarabun New" w:hAnsi="TH Sarabun New" w:cs="TH Sarabun New" w:eastAsia="TH Sarabun New"/>
                <w:b w:val="0"/>
                <w:i w:val="0"/>
                <w:sz w:val="26"/>
                <w:szCs w:val="26"/>
              </w:rPr>
              <w:t>C</w:t>
            </w:r>
          </w:p>
        </w:tc>
        <w:tc>
          <w:tcPr>
            <w:tcW w:type="dxa" w:w="1134"/>
            <w:vAlign w:val="top"/>
          </w:tcPr>
          <w:p>
            <w:pPr>
              <w:spacing w:after="0" w:line="240" w:lineRule="auto"/>
              <w:jc w:val="left"/>
            </w:pPr>
            <w:r/>
            <w:r>
              <w:rPr>
                <w:rFonts w:ascii="TH Sarabun New" w:hAnsi="TH Sarabun New" w:cs="TH Sarabun New" w:eastAsia="TH Sarabun New"/>
                <w:b w:val="0"/>
                <w:i w:val="0"/>
                <w:sz w:val="26"/>
                <w:szCs w:val="26"/>
              </w:rPr>
              <w:t>I</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A/R</w:t>
            </w:r>
          </w:p>
        </w:tc>
        <w:tc>
          <w:tcPr>
            <w:tcW w:type="dxa" w:w="1020"/>
            <w:vAlign w:val="top"/>
          </w:tcPr>
          <w:p>
            <w:pPr>
              <w:spacing w:after="0" w:line="240" w:lineRule="auto"/>
              <w:jc w:val="left"/>
            </w:pPr>
            <w:r/>
            <w:r>
              <w:rPr>
                <w:rFonts w:ascii="TH Sarabun New" w:hAnsi="TH Sarabun New" w:cs="TH Sarabun New" w:eastAsia="TH Sarabun New"/>
                <w:b w:val="0"/>
                <w:i w:val="0"/>
                <w:sz w:val="26"/>
                <w:szCs w:val="26"/>
              </w:rPr>
              <w:t>C</w:t>
            </w:r>
          </w:p>
        </w:tc>
        <w:tc>
          <w:tcPr>
            <w:tcW w:type="dxa" w:w="1531"/>
            <w:vAlign w:val="top"/>
          </w:tcPr>
          <w:p>
            <w:pPr>
              <w:spacing w:after="0" w:line="240" w:lineRule="auto"/>
              <w:jc w:val="left"/>
            </w:pPr>
            <w:r/>
            <w:r>
              <w:rPr>
                <w:rFonts w:ascii="TH Sarabun New" w:hAnsi="TH Sarabun New" w:cs="TH Sarabun New" w:eastAsia="TH Sarabun New"/>
                <w:b w:val="0"/>
                <w:i w:val="0"/>
                <w:sz w:val="26"/>
                <w:szCs w:val="26"/>
              </w:rPr>
              <w:t>I</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แผนปฏิบัติการรายปีกำหนดกิจกรรมหลักและผลผลิตที่คาดหวังในแต่ละปี เพื่อให้การดำเนินงานมีความชัดเจนและสามารถติดตามได้ ดังตาราง</w:t>
      </w:r>
    </w:p>
    <w:p>
      <w:pPr>
        <w:keepNext/>
        <w:spacing w:before="160" w:after="40"/>
        <w:jc w:val="center"/>
      </w:pPr>
      <w:r>
        <w:rPr>
          <w:rFonts w:ascii="TH Sarabun New" w:hAnsi="TH Sarabun New" w:cs="TH Sarabun New" w:eastAsia="TH Sarabun New"/>
          <w:b/>
          <w:i w:val="0"/>
          <w:sz w:val="28"/>
          <w:szCs w:val="28"/>
        </w:rPr>
        <w:t>ตาราง ฉ-2  แผนปฏิบัติการรายปี (Action Plan)</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1247"/>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ปี (พ.ศ.)</w:t>
            </w:r>
          </w:p>
        </w:tc>
        <w:tc>
          <w:tcPr>
            <w:tcW w:type="dxa" w:w="4139"/>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กิจกรรมหลัก</w:t>
            </w:r>
          </w:p>
        </w:tc>
        <w:tc>
          <w:tcPr>
            <w:tcW w:type="dxa" w:w="2835"/>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ผลผลิตที่คาดหวัง</w:t>
            </w:r>
          </w:p>
        </w:tc>
      </w:tr>
      <w:tr>
        <w:trPr>
          <w:cantSplit/>
        </w:trPr>
        <w:tc>
          <w:tcPr>
            <w:tcW w:type="dxa" w:w="1247"/>
            <w:vAlign w:val="top"/>
          </w:tcPr>
          <w:p>
            <w:pPr>
              <w:spacing w:after="0" w:line="240" w:lineRule="auto"/>
              <w:jc w:val="left"/>
            </w:pPr>
            <w:r/>
            <w:r>
              <w:rPr>
                <w:rFonts w:ascii="TH Sarabun New" w:hAnsi="TH Sarabun New" w:cs="TH Sarabun New" w:eastAsia="TH Sarabun New"/>
                <w:b w:val="0"/>
                <w:i w:val="0"/>
                <w:sz w:val="26"/>
                <w:szCs w:val="26"/>
              </w:rPr>
              <w:t>2569</w:t>
            </w:r>
          </w:p>
        </w:tc>
        <w:tc>
          <w:tcPr>
            <w:tcW w:type="dxa" w:w="4139"/>
            <w:vAlign w:val="top"/>
          </w:tcPr>
          <w:p>
            <w:pPr>
              <w:spacing w:after="0" w:line="240" w:lineRule="auto"/>
              <w:jc w:val="left"/>
            </w:pPr>
            <w:r/>
            <w:r>
              <w:rPr>
                <w:rFonts w:ascii="TH Sarabun New" w:hAnsi="TH Sarabun New" w:cs="TH Sarabun New" w:eastAsia="TH Sarabun New"/>
                <w:b w:val="0"/>
                <w:i w:val="0"/>
                <w:sz w:val="26"/>
                <w:szCs w:val="26"/>
              </w:rPr>
              <w:t>ตั้งคณะทำงานร่วม · ยกร่างกฎหมายลำดับรอง · ออกแบบ NTCH</w:t>
            </w:r>
          </w:p>
        </w:tc>
        <w:tc>
          <w:tcPr>
            <w:tcW w:type="dxa" w:w="2835"/>
            <w:vAlign w:val="top"/>
          </w:tcPr>
          <w:p>
            <w:pPr>
              <w:spacing w:after="0" w:line="240" w:lineRule="auto"/>
              <w:jc w:val="left"/>
            </w:pPr>
            <w:r/>
            <w:r>
              <w:rPr>
                <w:rFonts w:ascii="TH Sarabun New" w:hAnsi="TH Sarabun New" w:cs="TH Sarabun New" w:eastAsia="TH Sarabun New"/>
                <w:b w:val="0"/>
                <w:i w:val="0"/>
                <w:sz w:val="26"/>
                <w:szCs w:val="26"/>
              </w:rPr>
              <w:t>โครงสร้างองค์กรและกรอบกฎหมายพร้อม</w:t>
            </w:r>
          </w:p>
        </w:tc>
      </w:tr>
      <w:tr>
        <w:trPr>
          <w:cantSplit/>
        </w:trPr>
        <w:tc>
          <w:tcPr>
            <w:tcW w:type="dxa" w:w="1247"/>
            <w:vAlign w:val="top"/>
          </w:tcPr>
          <w:p>
            <w:pPr>
              <w:spacing w:after="0" w:line="240" w:lineRule="auto"/>
              <w:jc w:val="left"/>
            </w:pPr>
            <w:r/>
            <w:r>
              <w:rPr>
                <w:rFonts w:ascii="TH Sarabun New" w:hAnsi="TH Sarabun New" w:cs="TH Sarabun New" w:eastAsia="TH Sarabun New"/>
                <w:b w:val="0"/>
                <w:i w:val="0"/>
                <w:sz w:val="26"/>
                <w:szCs w:val="26"/>
              </w:rPr>
              <w:t>2570</w:t>
            </w:r>
          </w:p>
        </w:tc>
        <w:tc>
          <w:tcPr>
            <w:tcW w:type="dxa" w:w="4139"/>
            <w:vAlign w:val="top"/>
          </w:tcPr>
          <w:p>
            <w:pPr>
              <w:spacing w:after="0" w:line="240" w:lineRule="auto"/>
              <w:jc w:val="left"/>
            </w:pPr>
            <w:r/>
            <w:r>
              <w:rPr>
                <w:rFonts w:ascii="TH Sarabun New" w:hAnsi="TH Sarabun New" w:cs="TH Sarabun New" w:eastAsia="TH Sarabun New"/>
                <w:b w:val="0"/>
                <w:i w:val="0"/>
                <w:sz w:val="26"/>
                <w:szCs w:val="26"/>
              </w:rPr>
              <w:t>จัดตั้ง NTCH · เริ่ม EMV migration สมุทรปราการ · เปิด MaaS Beta</w:t>
            </w:r>
          </w:p>
        </w:tc>
        <w:tc>
          <w:tcPr>
            <w:tcW w:type="dxa" w:w="2835"/>
            <w:vAlign w:val="top"/>
          </w:tcPr>
          <w:p>
            <w:pPr>
              <w:spacing w:after="0" w:line="240" w:lineRule="auto"/>
              <w:jc w:val="left"/>
            </w:pPr>
            <w:r/>
            <w:r>
              <w:rPr>
                <w:rFonts w:ascii="TH Sarabun New" w:hAnsi="TH Sarabun New" w:cs="TH Sarabun New" w:eastAsia="TH Sarabun New"/>
                <w:b w:val="0"/>
                <w:i w:val="0"/>
                <w:sz w:val="26"/>
                <w:szCs w:val="26"/>
              </w:rPr>
              <w:t>ระบบตั๋วร่วมและแอปเริ่มใช้งานในพื้นที่นำร่อง</w:t>
            </w:r>
          </w:p>
        </w:tc>
      </w:tr>
      <w:tr>
        <w:trPr>
          <w:cantSplit/>
        </w:trPr>
        <w:tc>
          <w:tcPr>
            <w:tcW w:type="dxa" w:w="1247"/>
            <w:vAlign w:val="top"/>
          </w:tcPr>
          <w:p>
            <w:pPr>
              <w:spacing w:after="0" w:line="240" w:lineRule="auto"/>
              <w:jc w:val="left"/>
            </w:pPr>
            <w:r/>
            <w:r>
              <w:rPr>
                <w:rFonts w:ascii="TH Sarabun New" w:hAnsi="TH Sarabun New" w:cs="TH Sarabun New" w:eastAsia="TH Sarabun New"/>
                <w:b w:val="0"/>
                <w:i w:val="0"/>
                <w:sz w:val="26"/>
                <w:szCs w:val="26"/>
              </w:rPr>
              <w:t>2571</w:t>
            </w:r>
          </w:p>
        </w:tc>
        <w:tc>
          <w:tcPr>
            <w:tcW w:type="dxa" w:w="4139"/>
            <w:vAlign w:val="top"/>
          </w:tcPr>
          <w:p>
            <w:pPr>
              <w:spacing w:after="0" w:line="240" w:lineRule="auto"/>
              <w:jc w:val="left"/>
            </w:pPr>
            <w:r/>
            <w:r>
              <w:rPr>
                <w:rFonts w:ascii="TH Sarabun New" w:hAnsi="TH Sarabun New" w:cs="TH Sarabun New" w:eastAsia="TH Sarabun New"/>
                <w:b w:val="0"/>
                <w:i w:val="0"/>
                <w:sz w:val="26"/>
                <w:szCs w:val="26"/>
              </w:rPr>
              <w:t>Complete Streets 3 เส้นทาง · เริ่ม Commuter Tax Deduction</w:t>
            </w:r>
          </w:p>
        </w:tc>
        <w:tc>
          <w:tcPr>
            <w:tcW w:type="dxa" w:w="2835"/>
            <w:vAlign w:val="top"/>
          </w:tcPr>
          <w:p>
            <w:pPr>
              <w:spacing w:after="0" w:line="240" w:lineRule="auto"/>
              <w:jc w:val="left"/>
            </w:pPr>
            <w:r/>
            <w:r>
              <w:rPr>
                <w:rFonts w:ascii="TH Sarabun New" w:hAnsi="TH Sarabun New" w:cs="TH Sarabun New" w:eastAsia="TH Sarabun New"/>
                <w:b w:val="0"/>
                <w:i w:val="0"/>
                <w:sz w:val="26"/>
                <w:szCs w:val="26"/>
              </w:rPr>
              <w:t>โครงสร้างพื้นฐานคนเดินและมาตรการภาษีเริ่มผล</w:t>
            </w:r>
          </w:p>
        </w:tc>
      </w:tr>
      <w:tr>
        <w:trPr>
          <w:cantSplit/>
        </w:trPr>
        <w:tc>
          <w:tcPr>
            <w:tcW w:type="dxa" w:w="1247"/>
            <w:vAlign w:val="top"/>
          </w:tcPr>
          <w:p>
            <w:pPr>
              <w:spacing w:after="0" w:line="240" w:lineRule="auto"/>
              <w:jc w:val="left"/>
            </w:pPr>
            <w:r/>
            <w:r>
              <w:rPr>
                <w:rFonts w:ascii="TH Sarabun New" w:hAnsi="TH Sarabun New" w:cs="TH Sarabun New" w:eastAsia="TH Sarabun New"/>
                <w:b w:val="0"/>
                <w:i w:val="0"/>
                <w:sz w:val="26"/>
                <w:szCs w:val="26"/>
              </w:rPr>
              <w:t>2572</w:t>
            </w:r>
          </w:p>
        </w:tc>
        <w:tc>
          <w:tcPr>
            <w:tcW w:type="dxa" w:w="4139"/>
            <w:vAlign w:val="top"/>
          </w:tcPr>
          <w:p>
            <w:pPr>
              <w:spacing w:after="0" w:line="240" w:lineRule="auto"/>
              <w:jc w:val="left"/>
            </w:pPr>
            <w:r/>
            <w:r>
              <w:rPr>
                <w:rFonts w:ascii="TH Sarabun New" w:hAnsi="TH Sarabun New" w:cs="TH Sarabun New" w:eastAsia="TH Sarabun New"/>
                <w:b w:val="0"/>
                <w:i w:val="0"/>
                <w:sz w:val="26"/>
                <w:szCs w:val="26"/>
              </w:rPr>
              <w:t>ประเมินผล Before-After · ปรับปรุงระบบ</w:t>
            </w:r>
          </w:p>
        </w:tc>
        <w:tc>
          <w:tcPr>
            <w:tcW w:type="dxa" w:w="2835"/>
            <w:vAlign w:val="top"/>
          </w:tcPr>
          <w:p>
            <w:pPr>
              <w:spacing w:after="0" w:line="240" w:lineRule="auto"/>
              <w:jc w:val="left"/>
            </w:pPr>
            <w:r/>
            <w:r>
              <w:rPr>
                <w:rFonts w:ascii="TH Sarabun New" w:hAnsi="TH Sarabun New" w:cs="TH Sarabun New" w:eastAsia="TH Sarabun New"/>
                <w:b w:val="0"/>
                <w:i w:val="0"/>
                <w:sz w:val="26"/>
                <w:szCs w:val="26"/>
              </w:rPr>
              <w:t>ผลการประเมินเชิงประจักษ์เพื่อตัดสินใจขยายผล</w:t>
            </w:r>
          </w:p>
        </w:tc>
      </w:tr>
      <w:tr>
        <w:trPr>
          <w:cantSplit/>
        </w:trPr>
        <w:tc>
          <w:tcPr>
            <w:tcW w:type="dxa" w:w="1247"/>
            <w:vAlign w:val="top"/>
          </w:tcPr>
          <w:p>
            <w:pPr>
              <w:spacing w:after="0" w:line="240" w:lineRule="auto"/>
              <w:jc w:val="left"/>
            </w:pPr>
            <w:r/>
            <w:r>
              <w:rPr>
                <w:rFonts w:ascii="TH Sarabun New" w:hAnsi="TH Sarabun New" w:cs="TH Sarabun New" w:eastAsia="TH Sarabun New"/>
                <w:b w:val="0"/>
                <w:i w:val="0"/>
                <w:sz w:val="26"/>
                <w:szCs w:val="26"/>
              </w:rPr>
              <w:t>2573-2576</w:t>
            </w:r>
          </w:p>
        </w:tc>
        <w:tc>
          <w:tcPr>
            <w:tcW w:type="dxa" w:w="4139"/>
            <w:vAlign w:val="top"/>
          </w:tcPr>
          <w:p>
            <w:pPr>
              <w:spacing w:after="0" w:line="240" w:lineRule="auto"/>
              <w:jc w:val="left"/>
            </w:pPr>
            <w:r/>
            <w:r>
              <w:rPr>
                <w:rFonts w:ascii="TH Sarabun New" w:hAnsi="TH Sarabun New" w:cs="TH Sarabun New" w:eastAsia="TH Sarabun New"/>
                <w:b w:val="0"/>
                <w:i w:val="0"/>
                <w:sz w:val="26"/>
                <w:szCs w:val="26"/>
              </w:rPr>
              <w:t>ขยายผลสู่ กทม./จังหวัดอื่น · มาตรการเศรษฐศาสตร์เต็มรูปแบบ</w:t>
            </w:r>
          </w:p>
        </w:tc>
        <w:tc>
          <w:tcPr>
            <w:tcW w:type="dxa" w:w="2835"/>
            <w:vAlign w:val="top"/>
          </w:tcPr>
          <w:p>
            <w:pPr>
              <w:spacing w:after="0" w:line="240" w:lineRule="auto"/>
              <w:jc w:val="left"/>
            </w:pPr>
            <w:r/>
            <w:r>
              <w:rPr>
                <w:rFonts w:ascii="TH Sarabun New" w:hAnsi="TH Sarabun New" w:cs="TH Sarabun New" w:eastAsia="TH Sarabun New"/>
                <w:b w:val="0"/>
                <w:i w:val="0"/>
                <w:sz w:val="26"/>
                <w:szCs w:val="26"/>
              </w:rPr>
              <w:t>ระบบบูรณาการระดับประเทศ · บรรลุเป้าหมาย KPI</w:t>
            </w:r>
          </w:p>
        </w:tc>
      </w:tr>
    </w:tbl>
    <w:p>
      <w:pPr>
        <w:spacing w:after="120"/>
      </w:pPr>
    </w:p>
    <w:p>
      <w:r>
        <w:br w:type="page"/>
      </w:r>
    </w:p>
    <w:p>
      <w:pPr>
        <w:keepNext/>
        <w:spacing w:before="0" w:after="200" w:line="240" w:lineRule="auto"/>
        <w:jc w:val="left"/>
      </w:pPr>
      <w:r>
        <w:rPr>
          <w:rFonts w:ascii="TH Sarabun New" w:hAnsi="TH Sarabun New" w:cs="TH Sarabun New" w:eastAsia="TH Sarabun New"/>
          <w:b/>
          <w:i w:val="0"/>
          <w:color w:val="1F3D6E"/>
          <w:sz w:val="36"/>
          <w:szCs w:val="36"/>
        </w:rPr>
        <w:t>ภาคผนวก ช  กรอบการติดตามและประเมินผล (Monitoring &amp; Evaluation)</w:t>
      </w:r>
    </w:p>
    <w:p>
      <w:pPr>
        <w:spacing w:line="240" w:lineRule="auto" w:after="0"/>
        <w:ind w:firstLine="720"/>
        <w:jc w:val="left"/>
      </w:pPr>
      <w:r>
        <w:rPr>
          <w:rFonts w:ascii="TH Sarabun New" w:hAnsi="TH Sarabun New" w:cs="TH Sarabun New" w:eastAsia="TH Sarabun New"/>
          <w:b w:val="0"/>
          <w:i w:val="0"/>
          <w:sz w:val="32"/>
          <w:szCs w:val="32"/>
        </w:rPr>
        <w:t>กรอบการติดตามและประเมินผลกำหนดตัวชี้วัด แหล่งข้อมูล ความถี่ และค่าเป้าหมาย เพื่อให้สามารถติดตามความก้าวหน้าและปรับปรุงการดำเนินงานได้อย่างต่อเนื่อง โดยเน้นการศึกษาเปรียบเทียบก่อน-หลัง (Before-After Study) ที่พื้นที่นำร่อง วัดผลทุก 6 เดือน</w:t>
      </w:r>
    </w:p>
    <w:p>
      <w:pPr>
        <w:keepNext/>
        <w:spacing w:before="160" w:after="40"/>
        <w:jc w:val="center"/>
      </w:pPr>
      <w:r>
        <w:rPr>
          <w:rFonts w:ascii="TH Sarabun New" w:hAnsi="TH Sarabun New" w:cs="TH Sarabun New" w:eastAsia="TH Sarabun New"/>
          <w:b/>
          <w:i w:val="0"/>
          <w:sz w:val="28"/>
          <w:szCs w:val="28"/>
        </w:rPr>
        <w:t>ตาราง ช-1  กรอบตัวชี้วัดและการติดตามประเมินผล</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311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ตัวชี้วัด</w:t>
            </w:r>
          </w:p>
        </w:tc>
        <w:tc>
          <w:tcPr>
            <w:tcW w:type="dxa" w:w="3402"/>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แหล่งข้อมูล</w:t>
            </w:r>
          </w:p>
        </w:tc>
        <w:tc>
          <w:tcPr>
            <w:tcW w:type="dxa" w:w="170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ความถี่</w:t>
            </w:r>
          </w:p>
        </w:tc>
      </w:tr>
      <w:tr>
        <w:trPr>
          <w:cantSplit/>
        </w:trPr>
        <w:tc>
          <w:tcPr>
            <w:tcW w:type="dxa" w:w="3118"/>
            <w:vAlign w:val="top"/>
          </w:tcPr>
          <w:p>
            <w:pPr>
              <w:spacing w:after="0" w:line="240" w:lineRule="auto"/>
              <w:jc w:val="left"/>
            </w:pPr>
            <w:r/>
            <w:r>
              <w:rPr>
                <w:rFonts w:ascii="TH Sarabun New" w:hAnsi="TH Sarabun New" w:cs="TH Sarabun New" w:eastAsia="TH Sarabun New"/>
                <w:b w:val="0"/>
                <w:i w:val="0"/>
                <w:sz w:val="26"/>
                <w:szCs w:val="26"/>
              </w:rPr>
              <w:t>สัดส่วนการเดินทางด้วยขนส่งสาธารณะ</w:t>
            </w:r>
          </w:p>
        </w:tc>
        <w:tc>
          <w:tcPr>
            <w:tcW w:type="dxa" w:w="3402"/>
            <w:vAlign w:val="top"/>
          </w:tcPr>
          <w:p>
            <w:pPr>
              <w:spacing w:after="0" w:line="240" w:lineRule="auto"/>
              <w:jc w:val="left"/>
            </w:pPr>
            <w:r/>
            <w:r>
              <w:rPr>
                <w:rFonts w:ascii="TH Sarabun New" w:hAnsi="TH Sarabun New" w:cs="TH Sarabun New" w:eastAsia="TH Sarabun New"/>
                <w:b w:val="0"/>
                <w:i w:val="0"/>
                <w:sz w:val="26"/>
                <w:szCs w:val="26"/>
              </w:rPr>
              <w:t>การสำรวจการเดินทาง · ข้อมูล AFC</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รายปี</w:t>
            </w:r>
          </w:p>
        </w:tc>
      </w:tr>
      <w:tr>
        <w:trPr>
          <w:cantSplit/>
        </w:trPr>
        <w:tc>
          <w:tcPr>
            <w:tcW w:type="dxa" w:w="3118"/>
            <w:vAlign w:val="top"/>
          </w:tcPr>
          <w:p>
            <w:pPr>
              <w:spacing w:after="0" w:line="240" w:lineRule="auto"/>
              <w:jc w:val="left"/>
            </w:pPr>
            <w:r/>
            <w:r>
              <w:rPr>
                <w:rFonts w:ascii="TH Sarabun New" w:hAnsi="TH Sarabun New" w:cs="TH Sarabun New" w:eastAsia="TH Sarabun New"/>
                <w:b w:val="0"/>
                <w:i w:val="0"/>
                <w:sz w:val="26"/>
                <w:szCs w:val="26"/>
              </w:rPr>
              <w:t>สัดส่วน trips ผ่าน EMV/ABT</w:t>
            </w:r>
          </w:p>
        </w:tc>
        <w:tc>
          <w:tcPr>
            <w:tcW w:type="dxa" w:w="3402"/>
            <w:vAlign w:val="top"/>
          </w:tcPr>
          <w:p>
            <w:pPr>
              <w:spacing w:after="0" w:line="240" w:lineRule="auto"/>
              <w:jc w:val="left"/>
            </w:pPr>
            <w:r/>
            <w:r>
              <w:rPr>
                <w:rFonts w:ascii="TH Sarabun New" w:hAnsi="TH Sarabun New" w:cs="TH Sarabun New" w:eastAsia="TH Sarabun New"/>
                <w:b w:val="0"/>
                <w:i w:val="0"/>
                <w:sz w:val="26"/>
                <w:szCs w:val="26"/>
              </w:rPr>
              <w:t>ระบบ NTCH</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รายเดือน</w:t>
            </w:r>
          </w:p>
        </w:tc>
      </w:tr>
      <w:tr>
        <w:trPr>
          <w:cantSplit/>
        </w:trPr>
        <w:tc>
          <w:tcPr>
            <w:tcW w:type="dxa" w:w="3118"/>
            <w:vAlign w:val="top"/>
          </w:tcPr>
          <w:p>
            <w:pPr>
              <w:spacing w:after="0" w:line="240" w:lineRule="auto"/>
              <w:jc w:val="left"/>
            </w:pPr>
            <w:r/>
            <w:r>
              <w:rPr>
                <w:rFonts w:ascii="TH Sarabun New" w:hAnsi="TH Sarabun New" w:cs="TH Sarabun New" w:eastAsia="TH Sarabun New"/>
                <w:b w:val="0"/>
                <w:i w:val="0"/>
                <w:sz w:val="26"/>
                <w:szCs w:val="26"/>
              </w:rPr>
              <w:t>การปล่อย CO2 ภาคขนส่งเมือง</w:t>
            </w:r>
          </w:p>
        </w:tc>
        <w:tc>
          <w:tcPr>
            <w:tcW w:type="dxa" w:w="3402"/>
            <w:vAlign w:val="top"/>
          </w:tcPr>
          <w:p>
            <w:pPr>
              <w:spacing w:after="0" w:line="240" w:lineRule="auto"/>
              <w:jc w:val="left"/>
            </w:pPr>
            <w:r/>
            <w:r>
              <w:rPr>
                <w:rFonts w:ascii="TH Sarabun New" w:hAnsi="TH Sarabun New" w:cs="TH Sarabun New" w:eastAsia="TH Sarabun New"/>
                <w:b w:val="0"/>
                <w:i w:val="0"/>
                <w:sz w:val="26"/>
                <w:szCs w:val="26"/>
              </w:rPr>
              <w:t>แบบจำลองการปล่อยมลพิษ</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รายปี</w:t>
            </w:r>
          </w:p>
        </w:tc>
      </w:tr>
      <w:tr>
        <w:trPr>
          <w:cantSplit/>
        </w:trPr>
        <w:tc>
          <w:tcPr>
            <w:tcW w:type="dxa" w:w="3118"/>
            <w:vAlign w:val="top"/>
          </w:tcPr>
          <w:p>
            <w:pPr>
              <w:spacing w:after="0" w:line="240" w:lineRule="auto"/>
              <w:jc w:val="left"/>
            </w:pPr>
            <w:r/>
            <w:r>
              <w:rPr>
                <w:rFonts w:ascii="TH Sarabun New" w:hAnsi="TH Sarabun New" w:cs="TH Sarabun New" w:eastAsia="TH Sarabun New"/>
                <w:b w:val="0"/>
                <w:i w:val="0"/>
                <w:sz w:val="26"/>
                <w:szCs w:val="26"/>
              </w:rPr>
              <w:t>ความพึงพอใจผู้ใช้ (NPS)</w:t>
            </w:r>
          </w:p>
        </w:tc>
        <w:tc>
          <w:tcPr>
            <w:tcW w:type="dxa" w:w="3402"/>
            <w:vAlign w:val="top"/>
          </w:tcPr>
          <w:p>
            <w:pPr>
              <w:spacing w:after="0" w:line="240" w:lineRule="auto"/>
              <w:jc w:val="left"/>
            </w:pPr>
            <w:r/>
            <w:r>
              <w:rPr>
                <w:rFonts w:ascii="TH Sarabun New" w:hAnsi="TH Sarabun New" w:cs="TH Sarabun New" w:eastAsia="TH Sarabun New"/>
                <w:b w:val="0"/>
                <w:i w:val="0"/>
                <w:sz w:val="26"/>
                <w:szCs w:val="26"/>
              </w:rPr>
              <w:t>แบบสำรวจในแอป MaaS</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รายไตรมาส</w:t>
            </w:r>
          </w:p>
        </w:tc>
      </w:tr>
      <w:tr>
        <w:trPr>
          <w:cantSplit/>
        </w:trPr>
        <w:tc>
          <w:tcPr>
            <w:tcW w:type="dxa" w:w="3118"/>
            <w:vAlign w:val="top"/>
          </w:tcPr>
          <w:p>
            <w:pPr>
              <w:spacing w:after="0" w:line="240" w:lineRule="auto"/>
              <w:jc w:val="left"/>
            </w:pPr>
            <w:r/>
            <w:r>
              <w:rPr>
                <w:rFonts w:ascii="TH Sarabun New" w:hAnsi="TH Sarabun New" w:cs="TH Sarabun New" w:eastAsia="TH Sarabun New"/>
                <w:b w:val="0"/>
                <w:i w:val="0"/>
                <w:sz w:val="26"/>
                <w:szCs w:val="26"/>
              </w:rPr>
              <w:t>อุบัติเหตุในพื้นที่ Complete Streets</w:t>
            </w:r>
          </w:p>
        </w:tc>
        <w:tc>
          <w:tcPr>
            <w:tcW w:type="dxa" w:w="3402"/>
            <w:vAlign w:val="top"/>
          </w:tcPr>
          <w:p>
            <w:pPr>
              <w:spacing w:after="0" w:line="240" w:lineRule="auto"/>
              <w:jc w:val="left"/>
            </w:pPr>
            <w:r/>
            <w:r>
              <w:rPr>
                <w:rFonts w:ascii="TH Sarabun New" w:hAnsi="TH Sarabun New" w:cs="TH Sarabun New" w:eastAsia="TH Sarabun New"/>
                <w:b w:val="0"/>
                <w:i w:val="0"/>
                <w:sz w:val="26"/>
                <w:szCs w:val="26"/>
              </w:rPr>
              <w:t>สถิติอุบัติเหตุ</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รายปี</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นอกจากตัวชี้วัดข้างต้น คณะผู้จัดทำเสนอให้จัดตั้งระบบรายงานผล (Dashboard) แบบเรียลไทม์ ที่รวบรวมข้อมูลจากระบบเก็บค่าโดยสารอัตโนมัติ แอป MaaS และเซนเซอร์จราจร เพื่อให้ผู้บริหารและคณะกรรมการนโยบายติดตามความก้าวหน้าได้อย่างทันท่วงที พร้อมกำหนดให้มีการทบทวนผลการดำเนินงานและปรับแผนทุก 6 เดือน (Adaptive Management) โดยใช้หลักฐานเชิงประจักษ์เป็นฐานการตัดสินใจ การประเมินผลควรครอบคลุมทั้งผลผลิต (Outputs) ผลลัพธ์ (Outcomes) และผลกระทบ (Impacts) ในระยะยาว ตลอดจนการประเมินความคุ้มค่าทางเศรษฐกิจซ้ำเป็นระยะ</w:t>
      </w:r>
    </w:p>
    <w:p>
      <w:r>
        <w:br w:type="page"/>
      </w:r>
    </w:p>
    <w:p>
      <w:pPr>
        <w:keepNext/>
        <w:spacing w:before="0" w:after="200" w:line="240" w:lineRule="auto"/>
        <w:jc w:val="left"/>
      </w:pPr>
      <w:r>
        <w:rPr>
          <w:rFonts w:ascii="TH Sarabun New" w:hAnsi="TH Sarabun New" w:cs="TH Sarabun New" w:eastAsia="TH Sarabun New"/>
          <w:b/>
          <w:i w:val="0"/>
          <w:color w:val="1F3D6E"/>
          <w:sz w:val="36"/>
          <w:szCs w:val="36"/>
        </w:rPr>
        <w:t>ภาคผนวก ซ  เครื่องมือดิจิทัลประกอบการนำเสนอ</w:t>
      </w:r>
    </w:p>
    <w:p>
      <w:pPr>
        <w:spacing w:line="240" w:lineRule="auto" w:after="0"/>
        <w:ind w:firstLine="720"/>
        <w:jc w:val="left"/>
      </w:pPr>
      <w:r>
        <w:rPr>
          <w:rFonts w:ascii="TH Sarabun New" w:hAnsi="TH Sarabun New" w:cs="TH Sarabun New" w:eastAsia="TH Sarabun New"/>
          <w:b w:val="0"/>
          <w:i w:val="0"/>
          <w:sz w:val="32"/>
          <w:szCs w:val="32"/>
        </w:rPr>
        <w:t>คณะผู้จัดทำได้พัฒนาเครื่องมือดิจิทัลประกอบการศึกษาและนำเสนอ ได้แก่ เว็บแอปพลิเคชันต้นแบบ (Prototype) ที่สาธิตแนวคิดระบบ MaaS การวางแผนการเดินทาง และแผนที่พื้นที่นำร่องจังหวัดสมุทรปราการแบบโต้ตอบ พร้อมสไลด์นำเสนอและรายงานฉบับเต็ม เผยแพร่ที่เว็บไซต์ https://mot-mobility.pages.dev เพื่อให้ผู้เกี่ยวข้องสามารถเข้าถึงและศึกษาเพิ่มเติมได้</w:t>
      </w:r>
    </w:p>
    <w:p>
      <w:pPr>
        <w:spacing w:line="240" w:lineRule="auto" w:after="0"/>
        <w:ind w:firstLine="720"/>
        <w:jc w:val="left"/>
      </w:pPr>
      <w:r>
        <w:rPr>
          <w:rFonts w:ascii="TH Sarabun New" w:hAnsi="TH Sarabun New" w:cs="TH Sarabun New" w:eastAsia="TH Sarabun New"/>
          <w:b w:val="0"/>
          <w:i w:val="0"/>
          <w:sz w:val="32"/>
          <w:szCs w:val="32"/>
        </w:rPr>
        <w:t>เว็บแอปพลิเคชันต้นแบบประกอบด้วยฟังก์ชันหลัก ได้แก่ การวางแผนการเดินทางหลายโหมด (Multi-modal Trip Planning) การแสดงเส้นทางและเวลาเดินทางโดยประมาณ การจำลองการชำระเงินแบบบูรณาการ และแผนที่จังหวัดสมุทรปราการแบบโต้ตอบที่แสดงโครงข่ายขนส่งและจุดเชื่อมต่อสำคัญ เครื่องมือนี้มีวัตถุประสงค์เพื่อสาธิตแนวคิดและสื่อสารกับผู้มีส่วนได้ส่วนเสียให้เห็นภาพการเดินทางแบบไร้รอยต่อได้อย่างเป็นรูปธรรม มิใช่ระบบที่ใช้งานจริง โดยใช้ข้อมูลจำลองเพื่อการนำเสนอ อย่างไรก็ตาม สถาปัตยกรรมของต้นแบบได้รับการออกแบบให้สอดคล้องกับมาตรฐานเปิดที่เสนอในรายงาน เพื่อให้สามารถต่อยอดสู่ระบบจริงได้ในอนาคต</w:t>
      </w:r>
    </w:p>
    <w:p>
      <w:r>
        <w:br w:type="page"/>
      </w:r>
    </w:p>
    <w:p>
      <w:pPr>
        <w:keepNext/>
        <w:spacing w:before="0" w:after="200" w:line="240" w:lineRule="auto"/>
        <w:jc w:val="left"/>
      </w:pPr>
      <w:r>
        <w:rPr>
          <w:rFonts w:ascii="TH Sarabun New" w:hAnsi="TH Sarabun New" w:cs="TH Sarabun New" w:eastAsia="TH Sarabun New"/>
          <w:b/>
          <w:i w:val="0"/>
          <w:color w:val="1F3D6E"/>
          <w:sz w:val="36"/>
          <w:szCs w:val="36"/>
        </w:rPr>
        <w:t>ภาคผนวก ฌ  อภิธานศัพท์และคำย่อ</w:t>
      </w:r>
    </w:p>
    <w:p>
      <w:pPr>
        <w:spacing w:line="240" w:lineRule="auto" w:after="0"/>
        <w:ind w:firstLine="720"/>
        <w:jc w:val="left"/>
      </w:pPr>
      <w:r>
        <w:rPr>
          <w:rFonts w:ascii="TH Sarabun New" w:hAnsi="TH Sarabun New" w:cs="TH Sarabun New" w:eastAsia="TH Sarabun New"/>
          <w:b w:val="0"/>
          <w:i w:val="0"/>
          <w:sz w:val="32"/>
          <w:szCs w:val="32"/>
        </w:rPr>
        <w:t>ภาคผนวกนี้รวบรวมคำย่อและคำศัพท์เฉพาะที่ใช้ในรายงาน เพื่อความเข้าใจที่ตรงกัน</w:t>
      </w:r>
    </w:p>
    <w:p>
      <w:pPr>
        <w:keepNext/>
        <w:spacing w:before="160" w:after="40"/>
        <w:jc w:val="center"/>
      </w:pPr>
      <w:r>
        <w:rPr>
          <w:rFonts w:ascii="TH Sarabun New" w:hAnsi="TH Sarabun New" w:cs="TH Sarabun New" w:eastAsia="TH Sarabun New"/>
          <w:b/>
          <w:i w:val="0"/>
          <w:sz w:val="28"/>
          <w:szCs w:val="28"/>
        </w:rPr>
        <w:t>ตาราง ฌ-1  คำย่อและความหมาย</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1417"/>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คำย่อ</w:t>
            </w:r>
          </w:p>
        </w:tc>
        <w:tc>
          <w:tcPr>
            <w:tcW w:type="dxa" w:w="6803"/>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คำเต็มและความหมาย</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MaaS</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Mobility-as-a-Service — การบูรณาการบริการขนส่งหลายรูปแบบในแพลตฟอร์มเดียว</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EMV</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มาตรฐานบัตรชำระเงิน (Europay, Mastercard, Visa) แบบแตะจ่าย (Contactless)</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ABT</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Account-Based Ticketing — ระบบตั๋วแบบบัญชีกลางคิดค่าโดยสาร</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Open-loop</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ระบบที่รับชำระด้วยบัตร/อุปกรณ์ทั่วไป (บัตรเครดิต/เดบิต/มือถือ) ไม่ผูกบัตรเฉพาะ</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Fare Capping</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การคิดค่าโดยสารแบบรวมเพดานต่อวัน/สัปดาห์ ไม่เกินอัตราที่กำหนด</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NTCH</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National Transit Clearing House — หน่วยงานกลางประมวลผลและจัดสรรรายได้ค่าโดยสาร</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GTFS / GTFS-RT</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มาตรฐานข้อมูลตารางเดินรถ และข้อมูลเรียลไทม์</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GBFS</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General Bikeshare Feed Specification — มาตรฐานข้อมูลยานพาหนะแบ่งปัน</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TOMP-API</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มาตรฐาน API สำหรับการเชื่อมต่อผู้ให้บริการในระบบ MaaS</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ThaID</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ระบบยืนยันตัวตนทางดิจิทัลของประเทศไทย</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ERP</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Electronic Road Pricing — ระบบเก็บค่าผ่านทางอิเล็กทรอนิกส์ในเขตเมือง</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COE</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Certificate of Entitlement — ระบบโควตาสิทธิ์การถือครองรถยนต์ (สิงคโปร์)</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First/Last Mile</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การเดินทางช่วงต้นทาง-ปลายทาง เชื่อมระหว่างบ้าน/ที่ทำงานกับสถานี</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Feeder</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ระบบขนส่งเสริมที่ป้อนผู้โดยสารเข้าสู่ระบบขนส่งหลัก</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Park &amp; Ride</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จุดจอดแล้วจร — ที่จอดรถเชื่อมต่อระบบขนส่งสาธารณะ</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Complete Streets</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การออกแบบถนนรองรับผู้ใช้ทุกกลุ่มอย่างปลอดภัย ไม่เฉพาะรถยนต์</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Road Diet</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การลดช่องจราจรเพื่อเพิ่มพื้นที่ทางเท้า/จักรยานและความปลอดภัย</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BCR</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Benefit-Cost Ratio — อัตราส่วนผลตอบแทนต่อต้นทุน</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NPS</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Net Promoter Score — ดัชนีวัดความพึงพอใจและการบอกต่อของผู้ใช้</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PDPA</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พระราชบัญญัติคุ้มครองข้อมูลส่วนบุคคล พ.ศ. 2562</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DPO</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Data Protection Officer — เจ้าหน้าที่คุ้มครองข้อมูลส่วนบุคคล</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AADT</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Annual Average Daily Traffic — ปริมาณจราจรเฉลี่ยต่อวันต่อปี</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Net-Zero</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การปล่อยก๊าซเรือนกระจกสุทธิเป็นศูนย์</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30@30</w:t>
            </w:r>
          </w:p>
        </w:tc>
        <w:tc>
          <w:tcPr>
            <w:tcW w:type="dxa" w:w="6803"/>
            <w:vAlign w:val="top"/>
          </w:tcPr>
          <w:p>
            <w:pPr>
              <w:spacing w:after="0" w:line="240" w:lineRule="auto"/>
              <w:jc w:val="left"/>
            </w:pPr>
            <w:r/>
            <w:r>
              <w:rPr>
                <w:rFonts w:ascii="TH Sarabun New" w:hAnsi="TH Sarabun New" w:cs="TH Sarabun New" w:eastAsia="TH Sarabun New"/>
                <w:b w:val="0"/>
                <w:i w:val="0"/>
                <w:sz w:val="26"/>
                <w:szCs w:val="26"/>
              </w:rPr>
              <w:t>นโยบายให้ยานยนต์ไฟฟ้าเป็นร้อยละ 30 ของการผลิตภายในปี ค.ศ. 2030</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นอกจากคำย่อข้างต้น คำศัพท์เชิงนโยบายที่สำคัญ ได้แก่ "Public-led" หมายถึงรูปแบบที่ภาครัฐเป็นผู้นำการบูรณาการ "Coexist" หมายถึงการคงระบบเดิมคู่ขนานกับระบบใหม่ "Value Chain" หมายถึงห่วงโซ่คุณค่าที่เชื่อมโยงกลไกต่าง ๆ อย่างเป็นระบบ และ "Before-After Study" หมายถึงการศึกษาเปรียบเทียบผลก่อนและหลังดำเนินโครงการเพื่อวัดผลเชิงประจักษ์</w:t>
      </w:r>
    </w:p>
    <w:p>
      <w:r>
        <w:br w:type="page"/>
      </w:r>
    </w:p>
    <w:p>
      <w:pPr>
        <w:keepNext/>
        <w:spacing w:before="0" w:after="200" w:line="240" w:lineRule="auto"/>
        <w:jc w:val="left"/>
      </w:pPr>
      <w:r>
        <w:rPr>
          <w:rFonts w:ascii="TH Sarabun New" w:hAnsi="TH Sarabun New" w:cs="TH Sarabun New" w:eastAsia="TH Sarabun New"/>
          <w:b/>
          <w:i w:val="0"/>
          <w:color w:val="1F3D6E"/>
          <w:sz w:val="36"/>
          <w:szCs w:val="36"/>
        </w:rPr>
        <w:t>ภาคผนวก ญ  การวิเคราะห์เชิงกลยุทธ์เพิ่มเติม (Advanced Strategic Analysis)</w:t>
      </w:r>
    </w:p>
    <w:p>
      <w:pPr>
        <w:spacing w:line="240" w:lineRule="auto" w:after="0"/>
        <w:ind w:firstLine="720"/>
        <w:jc w:val="left"/>
      </w:pPr>
      <w:r>
        <w:rPr>
          <w:rFonts w:ascii="TH Sarabun New" w:hAnsi="TH Sarabun New" w:cs="TH Sarabun New" w:eastAsia="TH Sarabun New"/>
          <w:b w:val="0"/>
          <w:i w:val="0"/>
          <w:sz w:val="32"/>
          <w:szCs w:val="32"/>
        </w:rPr>
        <w:t>การวิเคราะห์ SOAR และ PESTEL เป็นจุดเริ่มต้นที่ดีในการทำความเข้าใจสภาพแวดล้อม แต่เป็นเครื่องมือเชิงพรรณนา (Descriptive) ที่ยังไม่ชี้นำการลงมือปฏิบัติและการวัดผลโดยตรง คณะผู้จัดทำจึงต่อยอดด้วยเครื่องมือเชิงกลยุทธ์ที่ทันสมัยและเป็นที่ยอมรับในระดับสากลอีก 4 ชนิด เพื่อให้การวิเคราะห์มีความลึกและนำไปสู่การปฏิบัติได้จริง ได้แก่ (1) SOAR Strategy Matrix แปลงจุดแข็ง × โอกาสเป็นกลยุทธ์เชิงรุก (แสดงในภาคผนวก ข ตาราง ข-1) (2) McKinsey 7S ประเมินความพร้อมขององค์กร (3) Balanced Scorecard เชื่อมยุทธศาสตร์สู่ตัวชี้วัด และ (4) VRIO วิเคราะห์ความได้เปรียบเชิงทรัพยากร</w:t>
      </w:r>
    </w:p>
    <w:p>
      <w:pPr>
        <w:keepNext/>
        <w:spacing w:before="200" w:after="80" w:line="240" w:lineRule="auto"/>
      </w:pPr>
      <w:r>
        <w:rPr>
          <w:rFonts w:ascii="TH Sarabun New" w:hAnsi="TH Sarabun New" w:cs="TH Sarabun New" w:eastAsia="TH Sarabun New"/>
          <w:b/>
          <w:i w:val="0"/>
          <w:color w:val="1F3D6E"/>
          <w:sz w:val="32"/>
          <w:szCs w:val="32"/>
        </w:rPr>
        <w:t>1. McKinsey 7S — การประเมินความพร้อมขององค์กรสู่การบูรณาการ</w:t>
      </w:r>
    </w:p>
    <w:p>
      <w:pPr>
        <w:spacing w:line="240" w:lineRule="auto" w:after="0"/>
        <w:ind w:firstLine="720"/>
        <w:jc w:val="left"/>
      </w:pPr>
      <w:r>
        <w:rPr>
          <w:rFonts w:ascii="TH Sarabun New" w:hAnsi="TH Sarabun New" w:cs="TH Sarabun New" w:eastAsia="TH Sarabun New"/>
          <w:b w:val="0"/>
          <w:i w:val="0"/>
          <w:sz w:val="32"/>
          <w:szCs w:val="32"/>
        </w:rPr>
        <w:t>กรอบ McKinsey 7S ใช้ประเมินความสอดคล้องของ 7 องค์ประกอบขององค์กร เพื่อระบุช่องว่างที่ต้องพัฒนาในการเปลี่ยนผ่านสู่ระบบขนส่งบูรณาการ ดังตาราง</w:t>
      </w:r>
    </w:p>
    <w:p>
      <w:pPr>
        <w:keepNext/>
        <w:spacing w:before="160" w:after="40"/>
        <w:jc w:val="center"/>
      </w:pPr>
      <w:r>
        <w:rPr>
          <w:rFonts w:ascii="TH Sarabun New" w:hAnsi="TH Sarabun New" w:cs="TH Sarabun New" w:eastAsia="TH Sarabun New"/>
          <w:b/>
          <w:i w:val="0"/>
          <w:sz w:val="28"/>
          <w:szCs w:val="28"/>
        </w:rPr>
        <w:t>ตาราง ญ-1  การวิเคราะห์ McKinsey 7S</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4153"/>
        <w:gridCol w:w="4153"/>
      </w:tblGrid>
      <w:tr>
        <w:tc>
          <w:tcPr>
            <w:tcW w:type="dxa" w:w="226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องค์ประกอบ (7S)</w:t>
            </w:r>
          </w:p>
        </w:tc>
        <w:tc>
          <w:tcPr>
            <w:tcW w:type="dxa" w:w="5953"/>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สภาพปัจจุบันและช่องว่างที่ต้องพัฒนา</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Strategy (กลยุทธ์)</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มีกฎหมายตั๋วร่วมและนโยบายรองรับ แต่ขาดแผนบูรณาการระดับปฏิบัติที่ชัดเจน</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Structure (โครงสร้าง)</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หน่วยงานแยกตามโหมด ต้องจัดตั้งกลไกกลาง (NTCH) และคณะทำงานร่วม</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Systems (ระบบงาน)</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ระบบตั๋วและข้อมูลแยกส่วน ต้องวางมาตรฐานกลางและ Data Catalog</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Shared Values (ค่านิยมร่วม)</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ต้องสร้างค่านิยม "ประโยชน์ผู้โดยสารเป็นศูนย์กลาง" ร่วมกันทุกหน่วยงาน</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Style (รูปแบบผู้นำ)</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ต้องอาศัยภาวะผู้นำเชิงบูรณาการและการตัดสินใจข้ามหน่วยงาน</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Staff (บุคลากร)</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ขาดบุคลากรเชี่ยวชาญ MaaS/ข้อมูล ต้องพัฒนาและสรรหาเพิ่ม</w:t>
            </w:r>
          </w:p>
        </w:tc>
      </w:tr>
      <w:tr>
        <w:trPr>
          <w:cantSplit/>
        </w:trPr>
        <w:tc>
          <w:tcPr>
            <w:tcW w:type="dxa" w:w="2268"/>
            <w:vAlign w:val="top"/>
          </w:tcPr>
          <w:p>
            <w:pPr>
              <w:spacing w:after="0" w:line="240" w:lineRule="auto"/>
              <w:jc w:val="left"/>
            </w:pPr>
            <w:r/>
            <w:r>
              <w:rPr>
                <w:rFonts w:ascii="TH Sarabun New" w:hAnsi="TH Sarabun New" w:cs="TH Sarabun New" w:eastAsia="TH Sarabun New"/>
                <w:b w:val="0"/>
                <w:i w:val="0"/>
                <w:sz w:val="26"/>
                <w:szCs w:val="26"/>
              </w:rPr>
              <w:t>Skills (ทักษะ)</w:t>
            </w:r>
          </w:p>
        </w:tc>
        <w:tc>
          <w:tcPr>
            <w:tcW w:type="dxa" w:w="5953"/>
            <w:vAlign w:val="top"/>
          </w:tcPr>
          <w:p>
            <w:pPr>
              <w:spacing w:after="0" w:line="240" w:lineRule="auto"/>
              <w:jc w:val="left"/>
            </w:pPr>
            <w:r/>
            <w:r>
              <w:rPr>
                <w:rFonts w:ascii="TH Sarabun New" w:hAnsi="TH Sarabun New" w:cs="TH Sarabun New" w:eastAsia="TH Sarabun New"/>
                <w:b w:val="0"/>
                <w:i w:val="0"/>
                <w:sz w:val="26"/>
                <w:szCs w:val="26"/>
              </w:rPr>
              <w:t>ต้องเสริมทักษะด้าน Open API, EMV, การวิเคราะห์ข้อมูล และการบริหารโครงการ</w:t>
            </w:r>
          </w:p>
        </w:tc>
      </w:tr>
    </w:tbl>
    <w:p>
      <w:pPr>
        <w:spacing w:after="120"/>
      </w:pPr>
    </w:p>
    <w:p>
      <w:pPr>
        <w:keepNext/>
        <w:spacing w:before="200" w:after="80" w:line="240" w:lineRule="auto"/>
      </w:pPr>
      <w:r>
        <w:rPr>
          <w:rFonts w:ascii="TH Sarabun New" w:hAnsi="TH Sarabun New" w:cs="TH Sarabun New" w:eastAsia="TH Sarabun New"/>
          <w:b/>
          <w:i w:val="0"/>
          <w:color w:val="1F3D6E"/>
          <w:sz w:val="32"/>
          <w:szCs w:val="32"/>
        </w:rPr>
        <w:t>2. Balanced Scorecard — เชื่อมยุทธศาสตร์สู่ตัวชี้วัด 4 มุมมอง</w:t>
      </w:r>
    </w:p>
    <w:p>
      <w:pPr>
        <w:spacing w:line="240" w:lineRule="auto" w:after="0"/>
        <w:ind w:firstLine="720"/>
        <w:jc w:val="left"/>
      </w:pPr>
      <w:r>
        <w:rPr>
          <w:rFonts w:ascii="TH Sarabun New" w:hAnsi="TH Sarabun New" w:cs="TH Sarabun New" w:eastAsia="TH Sarabun New"/>
          <w:b w:val="0"/>
          <w:i w:val="0"/>
          <w:sz w:val="32"/>
          <w:szCs w:val="32"/>
        </w:rPr>
        <w:t>Balanced Scorecard ช่วยแปลงยุทธศาสตร์การบูรณาการเป็นวัตถุประสงค์และตัวชี้วัดใน 4 มุมมองที่สมดุล สอดคล้องกับกรอบ M&amp;E ในภาคผนวก ช ดังตาราง</w:t>
      </w:r>
    </w:p>
    <w:p>
      <w:pPr>
        <w:keepNext/>
        <w:spacing w:before="160" w:after="40"/>
        <w:jc w:val="center"/>
      </w:pPr>
      <w:r>
        <w:rPr>
          <w:rFonts w:ascii="TH Sarabun New" w:hAnsi="TH Sarabun New" w:cs="TH Sarabun New" w:eastAsia="TH Sarabun New"/>
          <w:b/>
          <w:i w:val="0"/>
          <w:sz w:val="28"/>
          <w:szCs w:val="28"/>
        </w:rPr>
        <w:t>ตาราง ญ-2  Balanced Scorecard ของข้อเสนอ</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769"/>
        <w:gridCol w:w="2769"/>
        <w:gridCol w:w="2769"/>
      </w:tblGrid>
      <w:tr>
        <w:tc>
          <w:tcPr>
            <w:tcW w:type="dxa" w:w="2154"/>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มุมมอง</w:t>
            </w:r>
          </w:p>
        </w:tc>
        <w:tc>
          <w:tcPr>
            <w:tcW w:type="dxa" w:w="294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วัตถุประสงค์เชิงกลยุทธ์</w:t>
            </w:r>
          </w:p>
        </w:tc>
        <w:tc>
          <w:tcPr>
            <w:tcW w:type="dxa" w:w="311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ตัวชี้วัดหลัก</w:t>
            </w:r>
          </w:p>
        </w:tc>
      </w:tr>
      <w:tr>
        <w:trPr>
          <w:cantSplit/>
        </w:trPr>
        <w:tc>
          <w:tcPr>
            <w:tcW w:type="dxa" w:w="2154"/>
            <w:vAlign w:val="top"/>
          </w:tcPr>
          <w:p>
            <w:pPr>
              <w:spacing w:after="0" w:line="240" w:lineRule="auto"/>
              <w:jc w:val="left"/>
            </w:pPr>
            <w:r/>
            <w:r>
              <w:rPr>
                <w:rFonts w:ascii="TH Sarabun New" w:hAnsi="TH Sarabun New" w:cs="TH Sarabun New" w:eastAsia="TH Sarabun New"/>
                <w:b w:val="0"/>
                <w:i w:val="0"/>
                <w:sz w:val="26"/>
                <w:szCs w:val="26"/>
              </w:rPr>
              <w:t>การเงิน (Financial)</w:t>
            </w:r>
          </w:p>
        </w:tc>
        <w:tc>
          <w:tcPr>
            <w:tcW w:type="dxa" w:w="2948"/>
            <w:vAlign w:val="top"/>
          </w:tcPr>
          <w:p>
            <w:pPr>
              <w:spacing w:after="0" w:line="240" w:lineRule="auto"/>
              <w:jc w:val="left"/>
            </w:pPr>
            <w:r/>
            <w:r>
              <w:rPr>
                <w:rFonts w:ascii="TH Sarabun New" w:hAnsi="TH Sarabun New" w:cs="TH Sarabun New" w:eastAsia="TH Sarabun New"/>
                <w:b w:val="0"/>
                <w:i w:val="0"/>
                <w:sz w:val="26"/>
                <w:szCs w:val="26"/>
              </w:rPr>
              <w:t>ความคุ้มค่าและความยั่งยืนทางการเงิน</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BCR 8-12 เท่า · รายได้ใหม่ 27-42 พันล้านบาท/ปี</w:t>
            </w:r>
          </w:p>
        </w:tc>
      </w:tr>
      <w:tr>
        <w:trPr>
          <w:cantSplit/>
        </w:trPr>
        <w:tc>
          <w:tcPr>
            <w:tcW w:type="dxa" w:w="2154"/>
            <w:vAlign w:val="top"/>
          </w:tcPr>
          <w:p>
            <w:pPr>
              <w:spacing w:after="0" w:line="240" w:lineRule="auto"/>
              <w:jc w:val="left"/>
            </w:pPr>
            <w:r/>
            <w:r>
              <w:rPr>
                <w:rFonts w:ascii="TH Sarabun New" w:hAnsi="TH Sarabun New" w:cs="TH Sarabun New" w:eastAsia="TH Sarabun New"/>
                <w:b w:val="0"/>
                <w:i w:val="0"/>
                <w:sz w:val="26"/>
                <w:szCs w:val="26"/>
              </w:rPr>
              <w:t>ผู้ใช้บริการ (Customer)</w:t>
            </w:r>
          </w:p>
        </w:tc>
        <w:tc>
          <w:tcPr>
            <w:tcW w:type="dxa" w:w="2948"/>
            <w:vAlign w:val="top"/>
          </w:tcPr>
          <w:p>
            <w:pPr>
              <w:spacing w:after="0" w:line="240" w:lineRule="auto"/>
              <w:jc w:val="left"/>
            </w:pPr>
            <w:r/>
            <w:r>
              <w:rPr>
                <w:rFonts w:ascii="TH Sarabun New" w:hAnsi="TH Sarabun New" w:cs="TH Sarabun New" w:eastAsia="TH Sarabun New"/>
                <w:b w:val="0"/>
                <w:i w:val="0"/>
                <w:sz w:val="26"/>
                <w:szCs w:val="26"/>
              </w:rPr>
              <w:t>ประสบการณ์เดินทางไร้รอยต่อ</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NPS +40% · เวลาเดินทาง -25% · First/Last Mile ≤ 10 นาที</w:t>
            </w:r>
          </w:p>
        </w:tc>
      </w:tr>
      <w:tr>
        <w:trPr>
          <w:cantSplit/>
        </w:trPr>
        <w:tc>
          <w:tcPr>
            <w:tcW w:type="dxa" w:w="2154"/>
            <w:vAlign w:val="top"/>
          </w:tcPr>
          <w:p>
            <w:pPr>
              <w:spacing w:after="0" w:line="240" w:lineRule="auto"/>
              <w:jc w:val="left"/>
            </w:pPr>
            <w:r/>
            <w:r>
              <w:rPr>
                <w:rFonts w:ascii="TH Sarabun New" w:hAnsi="TH Sarabun New" w:cs="TH Sarabun New" w:eastAsia="TH Sarabun New"/>
                <w:b w:val="0"/>
                <w:i w:val="0"/>
                <w:sz w:val="26"/>
                <w:szCs w:val="26"/>
              </w:rPr>
              <w:t>กระบวนการภายใน (Internal Process)</w:t>
            </w:r>
          </w:p>
        </w:tc>
        <w:tc>
          <w:tcPr>
            <w:tcW w:type="dxa" w:w="2948"/>
            <w:vAlign w:val="top"/>
          </w:tcPr>
          <w:p>
            <w:pPr>
              <w:spacing w:after="0" w:line="240" w:lineRule="auto"/>
              <w:jc w:val="left"/>
            </w:pPr>
            <w:r/>
            <w:r>
              <w:rPr>
                <w:rFonts w:ascii="TH Sarabun New" w:hAnsi="TH Sarabun New" w:cs="TH Sarabun New" w:eastAsia="TH Sarabun New"/>
                <w:b w:val="0"/>
                <w:i w:val="0"/>
                <w:sz w:val="26"/>
                <w:szCs w:val="26"/>
              </w:rPr>
              <w:t>ระบบบูรณาการที่มีประสิทธิภาพ</w:t>
            </w:r>
          </w:p>
        </w:tc>
        <w:tc>
          <w:tcPr>
            <w:tcW w:type="dxa" w:w="3118"/>
            <w:vAlign w:val="top"/>
          </w:tcPr>
          <w:p>
            <w:pPr>
              <w:spacing w:after="0" w:line="240" w:lineRule="auto"/>
              <w:jc w:val="left"/>
            </w:pPr>
            <w:r>
              <w:t>trips ผ่าน EMV ≥ 80% · ลดต้นทุนรับชำระจาก 15% เหลือ 9% ของรายได้</w:t>
            </w:r>
            <w:r>
              <w:rPr>
                <w:rFonts w:ascii="TH Sarabun New" w:hAnsi="TH Sarabun New" w:cs="TH Sarabun New" w:eastAsia="TH Sarabun New"/>
                <w:b w:val="0"/>
                <w:i w:val="0"/>
                <w:sz w:val="26"/>
                <w:szCs w:val="26"/>
              </w:rPr>
            </w:r>
          </w:p>
        </w:tc>
      </w:tr>
      <w:tr>
        <w:trPr>
          <w:cantSplit/>
        </w:trPr>
        <w:tc>
          <w:tcPr>
            <w:tcW w:type="dxa" w:w="2154"/>
            <w:vAlign w:val="top"/>
          </w:tcPr>
          <w:p>
            <w:pPr>
              <w:spacing w:after="0" w:line="240" w:lineRule="auto"/>
              <w:jc w:val="left"/>
            </w:pPr>
            <w:r/>
            <w:r>
              <w:rPr>
                <w:rFonts w:ascii="TH Sarabun New" w:hAnsi="TH Sarabun New" w:cs="TH Sarabun New" w:eastAsia="TH Sarabun New"/>
                <w:b w:val="0"/>
                <w:i w:val="0"/>
                <w:sz w:val="26"/>
                <w:szCs w:val="26"/>
              </w:rPr>
              <w:t>การเรียนรู้และเติบโต (Learning &amp; Growth)</w:t>
            </w:r>
          </w:p>
        </w:tc>
        <w:tc>
          <w:tcPr>
            <w:tcW w:type="dxa" w:w="2948"/>
            <w:vAlign w:val="top"/>
          </w:tcPr>
          <w:p>
            <w:pPr>
              <w:spacing w:after="0" w:line="240" w:lineRule="auto"/>
              <w:jc w:val="left"/>
            </w:pPr>
            <w:r/>
            <w:r>
              <w:rPr>
                <w:rFonts w:ascii="TH Sarabun New" w:hAnsi="TH Sarabun New" w:cs="TH Sarabun New" w:eastAsia="TH Sarabun New"/>
                <w:b w:val="0"/>
                <w:i w:val="0"/>
                <w:sz w:val="26"/>
                <w:szCs w:val="26"/>
              </w:rPr>
              <w:t>ขีดความสามารถองค์กรและนวัตกรรม</w:t>
            </w:r>
          </w:p>
        </w:tc>
        <w:tc>
          <w:tcPr>
            <w:tcW w:type="dxa" w:w="3118"/>
            <w:vAlign w:val="top"/>
          </w:tcPr>
          <w:p>
            <w:pPr>
              <w:spacing w:after="0" w:line="240" w:lineRule="auto"/>
              <w:jc w:val="left"/>
            </w:pPr>
            <w:r/>
            <w:r>
              <w:rPr>
                <w:rFonts w:ascii="TH Sarabun New" w:hAnsi="TH Sarabun New" w:cs="TH Sarabun New" w:eastAsia="TH Sarabun New"/>
                <w:b w:val="0"/>
                <w:i w:val="0"/>
                <w:sz w:val="26"/>
                <w:szCs w:val="26"/>
              </w:rPr>
              <w:t>จำนวนบุคลากรที่ได้รับการพัฒนา · จำนวนแอปต่อยอด</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เพื่อให้ Balanced Scorecard นำไปปฏิบัติและติดตามได้จริง คณะผู้จัดทำกำหนดค่าเป้าหมาย แผนงาน/โครงการ (Initiative) และหน่วยรับผิดชอบของแต่ละมุมมอง ดังตาราง</w:t>
      </w:r>
    </w:p>
    <w:p>
      <w:pPr>
        <w:keepNext/>
        <w:spacing w:before="160" w:after="40"/>
        <w:jc w:val="center"/>
      </w:pPr>
      <w:r>
        <w:rPr>
          <w:rFonts w:ascii="TH Sarabun New" w:hAnsi="TH Sarabun New" w:cs="TH Sarabun New" w:eastAsia="TH Sarabun New"/>
          <w:b/>
          <w:i w:val="0"/>
          <w:sz w:val="28"/>
          <w:szCs w:val="28"/>
        </w:rPr>
        <w:t>ตาราง ญ-2ก  Balanced Scorecard เชิงปฏิบัติ (เป้า-โครงการ-เจ้าภาพ)</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076"/>
        <w:gridCol w:w="2076"/>
        <w:gridCol w:w="2076"/>
        <w:gridCol w:w="2076"/>
      </w:tblGrid>
      <w:tr>
        <w:tc>
          <w:tcPr>
            <w:tcW w:type="dxa" w:w="1417"/>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มุมมอง</w:t>
            </w:r>
          </w:p>
        </w:tc>
        <w:tc>
          <w:tcPr>
            <w:tcW w:type="dxa" w:w="204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ค่าเป้าหมาย (พ.ศ. 2576)</w:t>
            </w:r>
          </w:p>
        </w:tc>
        <w:tc>
          <w:tcPr>
            <w:tcW w:type="dxa" w:w="306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แผนงาน/โครงการ (Initiative)</w:t>
            </w:r>
          </w:p>
        </w:tc>
        <w:tc>
          <w:tcPr>
            <w:tcW w:type="dxa" w:w="170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หน่วยรับผิดชอบ</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การเงิน</w:t>
            </w:r>
          </w:p>
        </w:tc>
        <w:tc>
          <w:tcPr>
            <w:tcW w:type="dxa" w:w="2041"/>
            <w:vAlign w:val="top"/>
          </w:tcPr>
          <w:p>
            <w:pPr>
              <w:spacing w:after="0" w:line="240" w:lineRule="auto"/>
              <w:jc w:val="left"/>
            </w:pPr>
            <w:r/>
            <w:r>
              <w:rPr>
                <w:rFonts w:ascii="TH Sarabun New" w:hAnsi="TH Sarabun New" w:cs="TH Sarabun New" w:eastAsia="TH Sarabun New"/>
                <w:b w:val="0"/>
                <w:i w:val="0"/>
                <w:sz w:val="26"/>
                <w:szCs w:val="26"/>
              </w:rPr>
              <w:t>BCR ≥ 8 · คืนทุนปีแรก</w:t>
            </w:r>
          </w:p>
        </w:tc>
        <w:tc>
          <w:tcPr>
            <w:tcW w:type="dxa" w:w="3061"/>
            <w:vAlign w:val="top"/>
          </w:tcPr>
          <w:p>
            <w:pPr>
              <w:spacing w:after="0" w:line="240" w:lineRule="auto"/>
              <w:jc w:val="left"/>
            </w:pPr>
            <w:r/>
            <w:r>
              <w:rPr>
                <w:rFonts w:ascii="TH Sarabun New" w:hAnsi="TH Sarabun New" w:cs="TH Sarabun New" w:eastAsia="TH Sarabun New"/>
                <w:b w:val="0"/>
                <w:i w:val="0"/>
                <w:sz w:val="26"/>
                <w:szCs w:val="26"/>
              </w:rPr>
              <w:t>จัดตั้งกองทุน Ring-fencing · มาตรการสร้างรายได้</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คลัง/สนข.</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ผู้ใช้บริการ</w:t>
            </w:r>
          </w:p>
        </w:tc>
        <w:tc>
          <w:tcPr>
            <w:tcW w:type="dxa" w:w="2041"/>
            <w:vAlign w:val="top"/>
          </w:tcPr>
          <w:p>
            <w:pPr>
              <w:spacing w:after="0" w:line="240" w:lineRule="auto"/>
              <w:jc w:val="left"/>
            </w:pPr>
            <w:r/>
            <w:r>
              <w:rPr>
                <w:rFonts w:ascii="TH Sarabun New" w:hAnsi="TH Sarabun New" w:cs="TH Sarabun New" w:eastAsia="TH Sarabun New"/>
                <w:b w:val="0"/>
                <w:i w:val="0"/>
                <w:sz w:val="26"/>
                <w:szCs w:val="26"/>
              </w:rPr>
              <w:t>NPS +40% · เวลา -25%</w:t>
            </w:r>
          </w:p>
        </w:tc>
        <w:tc>
          <w:tcPr>
            <w:tcW w:type="dxa" w:w="3061"/>
            <w:vAlign w:val="top"/>
          </w:tcPr>
          <w:p>
            <w:pPr>
              <w:spacing w:after="0" w:line="240" w:lineRule="auto"/>
              <w:jc w:val="left"/>
            </w:pPr>
            <w:r/>
            <w:r>
              <w:rPr>
                <w:rFonts w:ascii="TH Sarabun New" w:hAnsi="TH Sarabun New" w:cs="TH Sarabun New" w:eastAsia="TH Sarabun New"/>
                <w:b w:val="0"/>
                <w:i w:val="0"/>
                <w:sz w:val="26"/>
                <w:szCs w:val="26"/>
              </w:rPr>
              <w:t>MaaS App · Feeder EV · Fare Capping</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สนข./ผู้ให้บริการ</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กระบวนการภายใน</w:t>
            </w:r>
          </w:p>
        </w:tc>
        <w:tc>
          <w:tcPr>
            <w:tcW w:type="dxa" w:w="2041"/>
            <w:vAlign w:val="top"/>
          </w:tcPr>
          <w:p>
            <w:pPr>
              <w:spacing w:after="0" w:line="240" w:lineRule="auto"/>
              <w:jc w:val="left"/>
            </w:pPr>
            <w:r>
              <w:t>EMV ≥ 80% · ต้นทุนรับชำระ 15%→9% ของรายได้</w:t>
            </w:r>
            <w:r>
              <w:rPr>
                <w:rFonts w:ascii="TH Sarabun New" w:hAnsi="TH Sarabun New" w:cs="TH Sarabun New" w:eastAsia="TH Sarabun New"/>
                <w:b w:val="0"/>
                <w:i w:val="0"/>
                <w:sz w:val="26"/>
                <w:szCs w:val="26"/>
              </w:rPr>
            </w:r>
          </w:p>
        </w:tc>
        <w:tc>
          <w:tcPr>
            <w:tcW w:type="dxa" w:w="3061"/>
            <w:vAlign w:val="top"/>
          </w:tcPr>
          <w:p>
            <w:pPr>
              <w:spacing w:after="0" w:line="240" w:lineRule="auto"/>
              <w:jc w:val="left"/>
            </w:pPr>
            <w:r/>
            <w:r>
              <w:rPr>
                <w:rFonts w:ascii="TH Sarabun New" w:hAnsi="TH Sarabun New" w:cs="TH Sarabun New" w:eastAsia="TH Sarabun New"/>
                <w:b w:val="0"/>
                <w:i w:val="0"/>
                <w:sz w:val="26"/>
                <w:szCs w:val="26"/>
              </w:rPr>
              <w:t>NTCH · EMV migration · Data Catalog</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กรมราง/สนข.</w:t>
            </w:r>
          </w:p>
        </w:tc>
      </w:tr>
      <w:tr>
        <w:trPr>
          <w:cantSplit/>
        </w:trPr>
        <w:tc>
          <w:tcPr>
            <w:tcW w:type="dxa" w:w="1417"/>
            <w:vAlign w:val="top"/>
          </w:tcPr>
          <w:p>
            <w:pPr>
              <w:spacing w:after="0" w:line="240" w:lineRule="auto"/>
              <w:jc w:val="left"/>
            </w:pPr>
            <w:r/>
            <w:r>
              <w:rPr>
                <w:rFonts w:ascii="TH Sarabun New" w:hAnsi="TH Sarabun New" w:cs="TH Sarabun New" w:eastAsia="TH Sarabun New"/>
                <w:b w:val="0"/>
                <w:i w:val="0"/>
                <w:sz w:val="26"/>
                <w:szCs w:val="26"/>
              </w:rPr>
              <w:t>การเรียนรู้และเติบโต</w:t>
            </w:r>
          </w:p>
        </w:tc>
        <w:tc>
          <w:tcPr>
            <w:tcW w:type="dxa" w:w="2041"/>
            <w:vAlign w:val="top"/>
          </w:tcPr>
          <w:p>
            <w:pPr>
              <w:spacing w:after="0" w:line="240" w:lineRule="auto"/>
              <w:jc w:val="left"/>
            </w:pPr>
            <w:r/>
            <w:r>
              <w:rPr>
                <w:rFonts w:ascii="TH Sarabun New" w:hAnsi="TH Sarabun New" w:cs="TH Sarabun New" w:eastAsia="TH Sarabun New"/>
                <w:b w:val="0"/>
                <w:i w:val="0"/>
                <w:sz w:val="26"/>
                <w:szCs w:val="26"/>
              </w:rPr>
              <w:t>อบรม ≥ 200 คน · แอป ≥ 10</w:t>
            </w:r>
          </w:p>
        </w:tc>
        <w:tc>
          <w:tcPr>
            <w:tcW w:type="dxa" w:w="3061"/>
            <w:vAlign w:val="top"/>
          </w:tcPr>
          <w:p>
            <w:pPr>
              <w:spacing w:after="0" w:line="240" w:lineRule="auto"/>
              <w:jc w:val="left"/>
            </w:pPr>
            <w:r/>
            <w:r>
              <w:rPr>
                <w:rFonts w:ascii="TH Sarabun New" w:hAnsi="TH Sarabun New" w:cs="TH Sarabun New" w:eastAsia="TH Sarabun New"/>
                <w:b w:val="0"/>
                <w:i w:val="0"/>
                <w:sz w:val="26"/>
                <w:szCs w:val="26"/>
              </w:rPr>
              <w:t>พัฒนาบุคลากร · เปิด Open API</w:t>
            </w:r>
          </w:p>
        </w:tc>
        <w:tc>
          <w:tcPr>
            <w:tcW w:type="dxa" w:w="1701"/>
            <w:vAlign w:val="top"/>
          </w:tcPr>
          <w:p>
            <w:pPr>
              <w:spacing w:after="0" w:line="240" w:lineRule="auto"/>
              <w:jc w:val="left"/>
            </w:pPr>
            <w:r/>
            <w:r>
              <w:rPr>
                <w:rFonts w:ascii="TH Sarabun New" w:hAnsi="TH Sarabun New" w:cs="TH Sarabun New" w:eastAsia="TH Sarabun New"/>
                <w:b w:val="0"/>
                <w:i w:val="0"/>
                <w:sz w:val="26"/>
                <w:szCs w:val="26"/>
              </w:rPr>
              <w:t>สนข./สถาบันการศึกษา</w:t>
            </w:r>
          </w:p>
        </w:tc>
      </w:tr>
    </w:tbl>
    <w:p>
      <w:pPr>
        <w:spacing w:after="120"/>
      </w:pPr>
    </w:p>
    <w:p>
      <w:pPr>
        <w:keepNext/>
        <w:spacing w:before="200" w:after="80" w:line="240" w:lineRule="auto"/>
      </w:pPr>
      <w:r>
        <w:rPr>
          <w:rFonts w:ascii="TH Sarabun New" w:hAnsi="TH Sarabun New" w:cs="TH Sarabun New" w:eastAsia="TH Sarabun New"/>
          <w:b/>
          <w:i w:val="0"/>
          <w:color w:val="1F3D6E"/>
          <w:sz w:val="32"/>
          <w:szCs w:val="32"/>
        </w:rPr>
        <w:t>3. VRIO — การวิเคราะห์ความได้เปรียบเชิงทรัพยากร</w:t>
      </w:r>
    </w:p>
    <w:p>
      <w:pPr>
        <w:spacing w:line="240" w:lineRule="auto" w:after="0"/>
        <w:ind w:firstLine="720"/>
        <w:jc w:val="left"/>
      </w:pPr>
      <w:r>
        <w:rPr>
          <w:rFonts w:ascii="TH Sarabun New" w:hAnsi="TH Sarabun New" w:cs="TH Sarabun New" w:eastAsia="TH Sarabun New"/>
          <w:b w:val="0"/>
          <w:i w:val="0"/>
          <w:sz w:val="32"/>
          <w:szCs w:val="32"/>
        </w:rPr>
        <w:t>กรอบ VRIO ประเมินว่าทรัพยากรและความสามารถของภาครัฐไทยสร้างความได้เปรียบที่ยั่งยืนได้หรือไม่ โดยพิจารณา 4 เกณฑ์ ได้แก่ มีคุณค่า (Valuable) หายาก (Rare) ลอกเลียนยาก (Inimitable) และมีการจัดการเพื่อใช้ประโยชน์ (Organized) ดังตาราง</w:t>
      </w:r>
    </w:p>
    <w:p>
      <w:pPr>
        <w:keepNext/>
        <w:spacing w:before="160" w:after="40"/>
        <w:jc w:val="center"/>
      </w:pPr>
      <w:r>
        <w:rPr>
          <w:rFonts w:ascii="TH Sarabun New" w:hAnsi="TH Sarabun New" w:cs="TH Sarabun New" w:eastAsia="TH Sarabun New"/>
          <w:b/>
          <w:i w:val="0"/>
          <w:sz w:val="28"/>
          <w:szCs w:val="28"/>
        </w:rPr>
        <w:t>ตาราง ญ-3  การวิเคราะห์ VRIO (✓ ใช่ · ◐ บางส่วน · ◯ ยังไม่มี)</w:t>
      </w: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1384"/>
        <w:gridCol w:w="1384"/>
        <w:gridCol w:w="1384"/>
        <w:gridCol w:w="1384"/>
        <w:gridCol w:w="1384"/>
        <w:gridCol w:w="1384"/>
      </w:tblGrid>
      <w:tr>
        <w:tc>
          <w:tcPr>
            <w:tcW w:type="dxa" w:w="2551"/>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ทรัพยากร/ความสามารถ</w:t>
            </w:r>
          </w:p>
        </w:tc>
        <w:tc>
          <w:tcPr>
            <w:tcW w:type="dxa" w:w="510"/>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V</w:t>
            </w:r>
          </w:p>
        </w:tc>
        <w:tc>
          <w:tcPr>
            <w:tcW w:type="dxa" w:w="510"/>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R</w:t>
            </w:r>
          </w:p>
        </w:tc>
        <w:tc>
          <w:tcPr>
            <w:tcW w:type="dxa" w:w="510"/>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I</w:t>
            </w:r>
          </w:p>
        </w:tc>
        <w:tc>
          <w:tcPr>
            <w:tcW w:type="dxa" w:w="510"/>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O</w:t>
            </w:r>
          </w:p>
        </w:tc>
        <w:tc>
          <w:tcPr>
            <w:tcW w:type="dxa" w:w="362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นัยเชิงความได้เปรียบ</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อำนาจตามกฎหมายตั๋วร่วม (พ.ร.บ. 2568)</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3628"/>
            <w:vAlign w:val="top"/>
          </w:tcPr>
          <w:p>
            <w:pPr>
              <w:spacing w:after="0" w:line="240" w:lineRule="auto"/>
              <w:jc w:val="left"/>
            </w:pPr>
            <w:r/>
            <w:r>
              <w:rPr>
                <w:rFonts w:ascii="TH Sarabun New" w:hAnsi="TH Sarabun New" w:cs="TH Sarabun New" w:eastAsia="TH Sarabun New"/>
                <w:b w:val="0"/>
                <w:i w:val="0"/>
                <w:sz w:val="26"/>
                <w:szCs w:val="26"/>
              </w:rPr>
              <w:t>ความได้เปรียบยั่งยืน หากจัดการให้เกิดผล</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โครงข่ายรถไฟฟ้าที่ลงทุนแล้ว</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3628"/>
            <w:vAlign w:val="top"/>
          </w:tcPr>
          <w:p>
            <w:pPr>
              <w:spacing w:after="0" w:line="240" w:lineRule="auto"/>
              <w:jc w:val="left"/>
            </w:pPr>
            <w:r/>
            <w:r>
              <w:rPr>
                <w:rFonts w:ascii="TH Sarabun New" w:hAnsi="TH Sarabun New" w:cs="TH Sarabun New" w:eastAsia="TH Sarabun New"/>
                <w:b w:val="0"/>
                <w:i w:val="0"/>
                <w:sz w:val="26"/>
                <w:szCs w:val="26"/>
              </w:rPr>
              <w:t>ได้เปรียบชั่วคราว ต้องบูรณาการให้คุ้มค่า</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โครงสร้างพื้นฐานดิจิทัล (PromptPay/ThaID)</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3628"/>
            <w:vAlign w:val="top"/>
          </w:tcPr>
          <w:p>
            <w:pPr>
              <w:spacing w:after="0" w:line="240" w:lineRule="auto"/>
              <w:jc w:val="left"/>
            </w:pPr>
            <w:r/>
            <w:r>
              <w:rPr>
                <w:rFonts w:ascii="TH Sarabun New" w:hAnsi="TH Sarabun New" w:cs="TH Sarabun New" w:eastAsia="TH Sarabun New"/>
                <w:b w:val="0"/>
                <w:i w:val="0"/>
                <w:sz w:val="26"/>
                <w:szCs w:val="26"/>
              </w:rPr>
              <w:t>ได้เปรียบที่ใช้ประโยชน์ได้ทันที</w:t>
            </w:r>
          </w:p>
        </w:tc>
      </w:tr>
      <w:tr>
        <w:trPr>
          <w:cantSplit/>
        </w:trPr>
        <w:tc>
          <w:tcPr>
            <w:tcW w:type="dxa" w:w="2551"/>
            <w:vAlign w:val="top"/>
          </w:tcPr>
          <w:p>
            <w:pPr>
              <w:spacing w:after="0" w:line="240" w:lineRule="auto"/>
              <w:jc w:val="left"/>
            </w:pPr>
            <w:r/>
            <w:r>
              <w:rPr>
                <w:rFonts w:ascii="TH Sarabun New" w:hAnsi="TH Sarabun New" w:cs="TH Sarabun New" w:eastAsia="TH Sarabun New"/>
                <w:b w:val="0"/>
                <w:i w:val="0"/>
                <w:sz w:val="26"/>
                <w:szCs w:val="26"/>
              </w:rPr>
              <w:t>ข้อมูลการเดินทางระดับชาติ</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510"/>
            <w:vAlign w:val="top"/>
          </w:tcPr>
          <w:p>
            <w:pPr>
              <w:spacing w:after="0" w:line="240" w:lineRule="auto"/>
              <w:jc w:val="left"/>
            </w:pPr>
            <w:r/>
            <w:r>
              <w:rPr>
                <w:rFonts w:ascii="TH Sarabun New" w:hAnsi="TH Sarabun New" w:cs="TH Sarabun New" w:eastAsia="TH Sarabun New"/>
                <w:b w:val="0"/>
                <w:i w:val="0"/>
                <w:sz w:val="26"/>
                <w:szCs w:val="26"/>
              </w:rPr>
              <w:t>◯</w:t>
            </w:r>
          </w:p>
        </w:tc>
        <w:tc>
          <w:tcPr>
            <w:tcW w:type="dxa" w:w="3628"/>
            <w:vAlign w:val="top"/>
          </w:tcPr>
          <w:p>
            <w:pPr>
              <w:spacing w:after="0" w:line="240" w:lineRule="auto"/>
              <w:jc w:val="left"/>
            </w:pPr>
            <w:r/>
            <w:r>
              <w:rPr>
                <w:rFonts w:ascii="TH Sarabun New" w:hAnsi="TH Sarabun New" w:cs="TH Sarabun New" w:eastAsia="TH Sarabun New"/>
                <w:b w:val="0"/>
                <w:i w:val="0"/>
                <w:sz w:val="26"/>
                <w:szCs w:val="26"/>
              </w:rPr>
              <w:t>ศักยภาพสูง แต่ยังขาดการจัดการ (ต้องเร่งพัฒนา)</w:t>
            </w:r>
          </w:p>
        </w:tc>
      </w:tr>
    </w:tbl>
    <w:p>
      <w:pPr>
        <w:spacing w:after="120"/>
      </w:pPr>
    </w:p>
    <w:p>
      <w:pPr>
        <w:spacing w:line="240" w:lineRule="auto" w:after="0"/>
        <w:ind w:firstLine="720"/>
        <w:jc w:val="left"/>
      </w:pPr>
      <w:r>
        <w:rPr>
          <w:rFonts w:ascii="TH Sarabun New" w:hAnsi="TH Sarabun New" w:cs="TH Sarabun New" w:eastAsia="TH Sarabun New"/>
          <w:b w:val="0"/>
          <w:i w:val="0"/>
          <w:sz w:val="32"/>
          <w:szCs w:val="32"/>
        </w:rPr>
        <w:t>ผลการวิเคราะห์ VRIO ชี้ว่าประเทศไทยมีทรัพยากรที่มีศักยภาพสร้างความได้เปรียบที่ยั่งยืน โดยเฉพาะอำนาจตามกฎหมายตั๋วร่วมและโครงสร้างพื้นฐานดิจิทัล แต่ความได้เปรียบจะเกิดขึ้นจริงก็ต่อเมื่อมีการ "จัดการเพื่อใช้ประโยชน์" (Organized) อย่างเป็นระบบ ซึ่งคือหัวใจของข้อเสนอในรายงานฉบับนี้ การวิเคราะห์ทั้ง 4 เครื่องมือจึงเสริมซึ่งกันและกัน และยืนยันความเหมาะสมและความเป็นไปได้ของแนวทางที่นำเสนอ</w:t>
      </w:r>
    </w:p>
    <w:p>
      <w:r>
        <w:br w:type="page"/>
      </w:r>
    </w:p>
    <w:p>
      <w:pPr>
        <w:keepNext/>
        <w:spacing w:before="0" w:after="200" w:line="240" w:lineRule="auto"/>
        <w:jc w:val="left"/>
      </w:pPr>
      <w:r>
        <w:rPr>
          <w:rFonts w:ascii="TH Sarabun New" w:hAnsi="TH Sarabun New" w:cs="TH Sarabun New" w:eastAsia="TH Sarabun New"/>
          <w:b/>
          <w:i w:val="0"/>
          <w:color w:val="1F3D6E"/>
          <w:sz w:val="36"/>
          <w:szCs w:val="36"/>
        </w:rPr>
        <w:t>คณะผู้จัดทำ</w:t>
      </w:r>
    </w:p>
    <w:p>
      <w:pPr>
        <w:spacing w:line="240" w:lineRule="auto" w:after="0"/>
        <w:jc w:val="left"/>
      </w:pPr>
      <w:r>
        <w:rPr>
          <w:rFonts w:ascii="TH Sarabun New" w:hAnsi="TH Sarabun New" w:cs="TH Sarabun New" w:eastAsia="TH Sarabun New"/>
          <w:b w:val="0"/>
          <w:i w:val="0"/>
          <w:sz w:val="32"/>
          <w:szCs w:val="32"/>
        </w:rPr>
        <w:t>รายงานการศึกษากลุ่มฉบับนี้เป็นผลงานร่วมของคณะผู้จัดทำ กลุ่มที่ ......... หลักสูตรนักบริหารระดับสูงกระทรวงคมนาคม (นบส.คค.) รุ่นที่ 8 ประจำปีพุทธศักราช 2569 ประกอบด้วย</w:t>
      </w:r>
    </w:p>
    <w:p>
      <w:pPr>
        <w:spacing w:line="240" w:lineRule="auto" w:before="0" w:after="0"/>
        <w:jc w:val="left"/>
      </w:pPr>
    </w:p>
    <w:tbl>
      <w:tblPr>
        <w:tblW w:type="auto" w:w="0"/>
        <w:jc w:val="center"/>
        <w:tblLayout w:type="fixed"/>
        <w:tblLook w:firstColumn="1" w:firstRow="1" w:lastColumn="0" w:lastRow="0" w:noHBand="0" w:noVBand="1" w:val="04A0"/>
        <w:tblBorders>
          <w:top w:val="single" w:sz="6" w:color="000000"/>
          <w:left w:val="single" w:sz="6" w:color="000000"/>
          <w:bottom w:val="single" w:sz="6" w:color="000000"/>
          <w:right w:val="single" w:sz="6" w:color="000000"/>
          <w:insideH w:val="single" w:sz="6" w:color="000000"/>
          <w:insideV w:val="single" w:sz="6" w:color="000000"/>
        </w:tblBorders>
      </w:tblPr>
      <w:tblGrid>
        <w:gridCol w:w="2076"/>
        <w:gridCol w:w="2076"/>
        <w:gridCol w:w="2076"/>
        <w:gridCol w:w="2076"/>
      </w:tblGrid>
      <w:tr>
        <w:tc>
          <w:tcPr>
            <w:tcW w:type="dxa" w:w="794"/>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ลำดับ</w:t>
            </w:r>
          </w:p>
        </w:tc>
        <w:tc>
          <w:tcPr>
            <w:tcW w:type="dxa" w:w="2835"/>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ชื่อ-นามสกุล</w:t>
            </w:r>
          </w:p>
        </w:tc>
        <w:tc>
          <w:tcPr>
            <w:tcW w:type="dxa" w:w="1474"/>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รหัส นบส.</w:t>
            </w:r>
          </w:p>
        </w:tc>
        <w:tc>
          <w:tcPr>
            <w:tcW w:type="dxa" w:w="3118"/>
            <w:vAlign w:val="center"/>
            <w:shd w:val="clear" w:color="auto" w:fill="1F4E79"/>
          </w:tcPr>
          <w:p>
            <w:pPr>
              <w:spacing w:after="0" w:line="240" w:lineRule="auto"/>
              <w:jc w:val="center"/>
            </w:pPr>
            <w:r/>
            <w:r>
              <w:rPr>
                <w:rFonts w:ascii="TH Sarabun New" w:hAnsi="TH Sarabun New" w:cs="TH Sarabun New" w:eastAsia="TH Sarabun New"/>
                <w:b/>
                <w:i w:val="0"/>
                <w:color w:val="FFFFFF"/>
                <w:sz w:val="30"/>
                <w:szCs w:val="30"/>
              </w:rPr>
              <w:t>ตำแหน่ง/หน่วยงานต้นสังกัด</w:t>
            </w:r>
          </w:p>
        </w:tc>
      </w:tr>
      <w:tr>
        <w:trPr>
          <w:cantSplit/>
        </w:trPr>
        <w:tc>
          <w:tcPr>
            <w:tcW w:type="dxa" w:w="794"/>
            <w:vAlign w:val="top"/>
          </w:tcPr>
          <w:p>
            <w:pPr>
              <w:spacing w:after="0" w:line="240" w:lineRule="auto"/>
              <w:jc w:val="left"/>
            </w:pPr>
            <w:r/>
            <w:r>
              <w:rPr>
                <w:rFonts w:ascii="TH Sarabun New" w:hAnsi="TH Sarabun New" w:cs="TH Sarabun New" w:eastAsia="TH Sarabun New"/>
                <w:b w:val="0"/>
                <w:i w:val="0"/>
                <w:sz w:val="30"/>
                <w:szCs w:val="30"/>
              </w:rPr>
              <w:t>1</w:t>
            </w:r>
          </w:p>
        </w:tc>
        <w:tc>
          <w:tcPr>
            <w:tcW w:type="dxa" w:w="2835"/>
            <w:vAlign w:val="top"/>
          </w:tcPr>
          <w:p>
            <w:pPr>
              <w:spacing w:after="0" w:line="240" w:lineRule="auto"/>
              <w:jc w:val="left"/>
            </w:pPr>
            <w:r/>
            <w:r>
              <w:rPr>
                <w:rFonts w:ascii="TH Sarabun New" w:hAnsi="TH Sarabun New" w:cs="TH Sarabun New" w:eastAsia="TH Sarabun New"/>
                <w:b w:val="0"/>
                <w:i w:val="0"/>
                <w:sz w:val="30"/>
                <w:szCs w:val="30"/>
              </w:rPr>
            </w:r>
          </w:p>
        </w:tc>
        <w:tc>
          <w:tcPr>
            <w:tcW w:type="dxa" w:w="1474"/>
            <w:vAlign w:val="top"/>
          </w:tcPr>
          <w:p>
            <w:pPr>
              <w:spacing w:after="0" w:line="240" w:lineRule="auto"/>
              <w:jc w:val="left"/>
            </w:pPr>
            <w:r/>
            <w:r>
              <w:rPr>
                <w:rFonts w:ascii="TH Sarabun New" w:hAnsi="TH Sarabun New" w:cs="TH Sarabun New" w:eastAsia="TH Sarabun New"/>
                <w:b w:val="0"/>
                <w:i w:val="0"/>
                <w:sz w:val="30"/>
                <w:szCs w:val="30"/>
              </w:rPr>
            </w:r>
          </w:p>
        </w:tc>
        <w:tc>
          <w:tcPr>
            <w:tcW w:type="dxa" w:w="3118"/>
            <w:vAlign w:val="top"/>
          </w:tcPr>
          <w:p>
            <w:pPr>
              <w:spacing w:after="0" w:line="240" w:lineRule="auto"/>
              <w:jc w:val="left"/>
            </w:pPr>
            <w:r/>
            <w:r>
              <w:rPr>
                <w:rFonts w:ascii="TH Sarabun New" w:hAnsi="TH Sarabun New" w:cs="TH Sarabun New" w:eastAsia="TH Sarabun New"/>
                <w:b w:val="0"/>
                <w:i w:val="0"/>
                <w:sz w:val="30"/>
                <w:szCs w:val="30"/>
              </w:rPr>
            </w:r>
          </w:p>
        </w:tc>
      </w:tr>
      <w:tr>
        <w:trPr>
          <w:cantSplit/>
        </w:trPr>
        <w:tc>
          <w:tcPr>
            <w:tcW w:type="dxa" w:w="794"/>
            <w:vAlign w:val="top"/>
          </w:tcPr>
          <w:p>
            <w:pPr>
              <w:spacing w:after="0" w:line="240" w:lineRule="auto"/>
              <w:jc w:val="left"/>
            </w:pPr>
            <w:r/>
            <w:r>
              <w:rPr>
                <w:rFonts w:ascii="TH Sarabun New" w:hAnsi="TH Sarabun New" w:cs="TH Sarabun New" w:eastAsia="TH Sarabun New"/>
                <w:b w:val="0"/>
                <w:i w:val="0"/>
                <w:sz w:val="30"/>
                <w:szCs w:val="30"/>
              </w:rPr>
              <w:t>2</w:t>
            </w:r>
          </w:p>
        </w:tc>
        <w:tc>
          <w:tcPr>
            <w:tcW w:type="dxa" w:w="2835"/>
            <w:vAlign w:val="top"/>
          </w:tcPr>
          <w:p>
            <w:pPr>
              <w:spacing w:after="0" w:line="240" w:lineRule="auto"/>
              <w:jc w:val="left"/>
            </w:pPr>
            <w:r/>
            <w:r>
              <w:rPr>
                <w:rFonts w:ascii="TH Sarabun New" w:hAnsi="TH Sarabun New" w:cs="TH Sarabun New" w:eastAsia="TH Sarabun New"/>
                <w:b w:val="0"/>
                <w:i w:val="0"/>
                <w:sz w:val="30"/>
                <w:szCs w:val="30"/>
              </w:rPr>
            </w:r>
          </w:p>
        </w:tc>
        <w:tc>
          <w:tcPr>
            <w:tcW w:type="dxa" w:w="1474"/>
            <w:vAlign w:val="top"/>
          </w:tcPr>
          <w:p>
            <w:pPr>
              <w:spacing w:after="0" w:line="240" w:lineRule="auto"/>
              <w:jc w:val="left"/>
            </w:pPr>
            <w:r/>
            <w:r>
              <w:rPr>
                <w:rFonts w:ascii="TH Sarabun New" w:hAnsi="TH Sarabun New" w:cs="TH Sarabun New" w:eastAsia="TH Sarabun New"/>
                <w:b w:val="0"/>
                <w:i w:val="0"/>
                <w:sz w:val="30"/>
                <w:szCs w:val="30"/>
              </w:rPr>
            </w:r>
          </w:p>
        </w:tc>
        <w:tc>
          <w:tcPr>
            <w:tcW w:type="dxa" w:w="3118"/>
            <w:vAlign w:val="top"/>
          </w:tcPr>
          <w:p>
            <w:pPr>
              <w:spacing w:after="0" w:line="240" w:lineRule="auto"/>
              <w:jc w:val="left"/>
            </w:pPr>
            <w:r/>
            <w:r>
              <w:rPr>
                <w:rFonts w:ascii="TH Sarabun New" w:hAnsi="TH Sarabun New" w:cs="TH Sarabun New" w:eastAsia="TH Sarabun New"/>
                <w:b w:val="0"/>
                <w:i w:val="0"/>
                <w:sz w:val="30"/>
                <w:szCs w:val="30"/>
              </w:rPr>
            </w:r>
          </w:p>
        </w:tc>
      </w:tr>
      <w:tr>
        <w:trPr>
          <w:cantSplit/>
        </w:trPr>
        <w:tc>
          <w:tcPr>
            <w:tcW w:type="dxa" w:w="794"/>
            <w:vAlign w:val="top"/>
          </w:tcPr>
          <w:p>
            <w:pPr>
              <w:spacing w:after="0" w:line="240" w:lineRule="auto"/>
              <w:jc w:val="left"/>
            </w:pPr>
            <w:r/>
            <w:r>
              <w:rPr>
                <w:rFonts w:ascii="TH Sarabun New" w:hAnsi="TH Sarabun New" w:cs="TH Sarabun New" w:eastAsia="TH Sarabun New"/>
                <w:b w:val="0"/>
                <w:i w:val="0"/>
                <w:sz w:val="30"/>
                <w:szCs w:val="30"/>
              </w:rPr>
              <w:t>3</w:t>
            </w:r>
          </w:p>
        </w:tc>
        <w:tc>
          <w:tcPr>
            <w:tcW w:type="dxa" w:w="2835"/>
            <w:vAlign w:val="top"/>
          </w:tcPr>
          <w:p>
            <w:pPr>
              <w:spacing w:after="0" w:line="240" w:lineRule="auto"/>
              <w:jc w:val="left"/>
            </w:pPr>
            <w:r/>
            <w:r>
              <w:rPr>
                <w:rFonts w:ascii="TH Sarabun New" w:hAnsi="TH Sarabun New" w:cs="TH Sarabun New" w:eastAsia="TH Sarabun New"/>
                <w:b w:val="0"/>
                <w:i w:val="0"/>
                <w:sz w:val="30"/>
                <w:szCs w:val="30"/>
              </w:rPr>
            </w:r>
          </w:p>
        </w:tc>
        <w:tc>
          <w:tcPr>
            <w:tcW w:type="dxa" w:w="1474"/>
            <w:vAlign w:val="top"/>
          </w:tcPr>
          <w:p>
            <w:pPr>
              <w:spacing w:after="0" w:line="240" w:lineRule="auto"/>
              <w:jc w:val="left"/>
            </w:pPr>
            <w:r/>
            <w:r>
              <w:rPr>
                <w:rFonts w:ascii="TH Sarabun New" w:hAnsi="TH Sarabun New" w:cs="TH Sarabun New" w:eastAsia="TH Sarabun New"/>
                <w:b w:val="0"/>
                <w:i w:val="0"/>
                <w:sz w:val="30"/>
                <w:szCs w:val="30"/>
              </w:rPr>
            </w:r>
          </w:p>
        </w:tc>
        <w:tc>
          <w:tcPr>
            <w:tcW w:type="dxa" w:w="3118"/>
            <w:vAlign w:val="top"/>
          </w:tcPr>
          <w:p>
            <w:pPr>
              <w:spacing w:after="0" w:line="240" w:lineRule="auto"/>
              <w:jc w:val="left"/>
            </w:pPr>
            <w:r/>
            <w:r>
              <w:rPr>
                <w:rFonts w:ascii="TH Sarabun New" w:hAnsi="TH Sarabun New" w:cs="TH Sarabun New" w:eastAsia="TH Sarabun New"/>
                <w:b w:val="0"/>
                <w:i w:val="0"/>
                <w:sz w:val="30"/>
                <w:szCs w:val="30"/>
              </w:rPr>
            </w:r>
          </w:p>
        </w:tc>
      </w:tr>
      <w:tr>
        <w:trPr>
          <w:cantSplit/>
        </w:trPr>
        <w:tc>
          <w:tcPr>
            <w:tcW w:type="dxa" w:w="794"/>
            <w:vAlign w:val="top"/>
          </w:tcPr>
          <w:p>
            <w:pPr>
              <w:spacing w:after="0" w:line="240" w:lineRule="auto"/>
              <w:jc w:val="left"/>
            </w:pPr>
            <w:r/>
            <w:r>
              <w:rPr>
                <w:rFonts w:ascii="TH Sarabun New" w:hAnsi="TH Sarabun New" w:cs="TH Sarabun New" w:eastAsia="TH Sarabun New"/>
                <w:b w:val="0"/>
                <w:i w:val="0"/>
                <w:sz w:val="30"/>
                <w:szCs w:val="30"/>
              </w:rPr>
              <w:t>4</w:t>
            </w:r>
          </w:p>
        </w:tc>
        <w:tc>
          <w:tcPr>
            <w:tcW w:type="dxa" w:w="2835"/>
            <w:vAlign w:val="top"/>
          </w:tcPr>
          <w:p>
            <w:pPr>
              <w:spacing w:after="0" w:line="240" w:lineRule="auto"/>
              <w:jc w:val="left"/>
            </w:pPr>
            <w:r/>
            <w:r>
              <w:rPr>
                <w:rFonts w:ascii="TH Sarabun New" w:hAnsi="TH Sarabun New" w:cs="TH Sarabun New" w:eastAsia="TH Sarabun New"/>
                <w:b w:val="0"/>
                <w:i w:val="0"/>
                <w:sz w:val="30"/>
                <w:szCs w:val="30"/>
              </w:rPr>
            </w:r>
          </w:p>
        </w:tc>
        <w:tc>
          <w:tcPr>
            <w:tcW w:type="dxa" w:w="1474"/>
            <w:vAlign w:val="top"/>
          </w:tcPr>
          <w:p>
            <w:pPr>
              <w:spacing w:after="0" w:line="240" w:lineRule="auto"/>
              <w:jc w:val="left"/>
            </w:pPr>
            <w:r/>
            <w:r>
              <w:rPr>
                <w:rFonts w:ascii="TH Sarabun New" w:hAnsi="TH Sarabun New" w:cs="TH Sarabun New" w:eastAsia="TH Sarabun New"/>
                <w:b w:val="0"/>
                <w:i w:val="0"/>
                <w:sz w:val="30"/>
                <w:szCs w:val="30"/>
              </w:rPr>
            </w:r>
          </w:p>
        </w:tc>
        <w:tc>
          <w:tcPr>
            <w:tcW w:type="dxa" w:w="3118"/>
            <w:vAlign w:val="top"/>
          </w:tcPr>
          <w:p>
            <w:pPr>
              <w:spacing w:after="0" w:line="240" w:lineRule="auto"/>
              <w:jc w:val="left"/>
            </w:pPr>
            <w:r/>
            <w:r>
              <w:rPr>
                <w:rFonts w:ascii="TH Sarabun New" w:hAnsi="TH Sarabun New" w:cs="TH Sarabun New" w:eastAsia="TH Sarabun New"/>
                <w:b w:val="0"/>
                <w:i w:val="0"/>
                <w:sz w:val="30"/>
                <w:szCs w:val="30"/>
              </w:rPr>
            </w:r>
          </w:p>
        </w:tc>
      </w:tr>
      <w:tr>
        <w:trPr>
          <w:cantSplit/>
        </w:trPr>
        <w:tc>
          <w:tcPr>
            <w:tcW w:type="dxa" w:w="794"/>
            <w:vAlign w:val="top"/>
          </w:tcPr>
          <w:p>
            <w:pPr>
              <w:spacing w:after="0" w:line="240" w:lineRule="auto"/>
              <w:jc w:val="left"/>
            </w:pPr>
            <w:r/>
            <w:r>
              <w:rPr>
                <w:rFonts w:ascii="TH Sarabun New" w:hAnsi="TH Sarabun New" w:cs="TH Sarabun New" w:eastAsia="TH Sarabun New"/>
                <w:b w:val="0"/>
                <w:i w:val="0"/>
                <w:sz w:val="30"/>
                <w:szCs w:val="30"/>
              </w:rPr>
              <w:t>5</w:t>
            </w:r>
          </w:p>
        </w:tc>
        <w:tc>
          <w:tcPr>
            <w:tcW w:type="dxa" w:w="2835"/>
            <w:vAlign w:val="top"/>
          </w:tcPr>
          <w:p>
            <w:pPr>
              <w:spacing w:after="0" w:line="240" w:lineRule="auto"/>
              <w:jc w:val="left"/>
            </w:pPr>
            <w:r/>
            <w:r>
              <w:rPr>
                <w:rFonts w:ascii="TH Sarabun New" w:hAnsi="TH Sarabun New" w:cs="TH Sarabun New" w:eastAsia="TH Sarabun New"/>
                <w:b w:val="0"/>
                <w:i w:val="0"/>
                <w:sz w:val="30"/>
                <w:szCs w:val="30"/>
              </w:rPr>
            </w:r>
          </w:p>
        </w:tc>
        <w:tc>
          <w:tcPr>
            <w:tcW w:type="dxa" w:w="1474"/>
            <w:vAlign w:val="top"/>
          </w:tcPr>
          <w:p>
            <w:pPr>
              <w:spacing w:after="0" w:line="240" w:lineRule="auto"/>
              <w:jc w:val="left"/>
            </w:pPr>
            <w:r/>
            <w:r>
              <w:rPr>
                <w:rFonts w:ascii="TH Sarabun New" w:hAnsi="TH Sarabun New" w:cs="TH Sarabun New" w:eastAsia="TH Sarabun New"/>
                <w:b w:val="0"/>
                <w:i w:val="0"/>
                <w:sz w:val="30"/>
                <w:szCs w:val="30"/>
              </w:rPr>
            </w:r>
          </w:p>
        </w:tc>
        <w:tc>
          <w:tcPr>
            <w:tcW w:type="dxa" w:w="3118"/>
            <w:vAlign w:val="top"/>
          </w:tcPr>
          <w:p>
            <w:pPr>
              <w:spacing w:after="0" w:line="240" w:lineRule="auto"/>
              <w:jc w:val="left"/>
            </w:pPr>
            <w:r/>
            <w:r>
              <w:rPr>
                <w:rFonts w:ascii="TH Sarabun New" w:hAnsi="TH Sarabun New" w:cs="TH Sarabun New" w:eastAsia="TH Sarabun New"/>
                <w:b w:val="0"/>
                <w:i w:val="0"/>
                <w:sz w:val="30"/>
                <w:szCs w:val="30"/>
              </w:rPr>
            </w:r>
          </w:p>
        </w:tc>
      </w:tr>
      <w:tr>
        <w:trPr>
          <w:cantSplit/>
        </w:trPr>
        <w:tc>
          <w:tcPr>
            <w:tcW w:type="dxa" w:w="794"/>
            <w:vAlign w:val="top"/>
          </w:tcPr>
          <w:p>
            <w:pPr>
              <w:spacing w:after="0" w:line="240" w:lineRule="auto"/>
              <w:jc w:val="left"/>
            </w:pPr>
            <w:r/>
            <w:r>
              <w:rPr>
                <w:rFonts w:ascii="TH Sarabun New" w:hAnsi="TH Sarabun New" w:cs="TH Sarabun New" w:eastAsia="TH Sarabun New"/>
                <w:b w:val="0"/>
                <w:i w:val="0"/>
                <w:sz w:val="30"/>
                <w:szCs w:val="30"/>
              </w:rPr>
              <w:t>6</w:t>
            </w:r>
          </w:p>
        </w:tc>
        <w:tc>
          <w:tcPr>
            <w:tcW w:type="dxa" w:w="2835"/>
            <w:vAlign w:val="top"/>
          </w:tcPr>
          <w:p>
            <w:pPr>
              <w:spacing w:after="0" w:line="240" w:lineRule="auto"/>
              <w:jc w:val="left"/>
            </w:pPr>
            <w:r/>
            <w:r>
              <w:rPr>
                <w:rFonts w:ascii="TH Sarabun New" w:hAnsi="TH Sarabun New" w:cs="TH Sarabun New" w:eastAsia="TH Sarabun New"/>
                <w:b w:val="0"/>
                <w:i w:val="0"/>
                <w:sz w:val="30"/>
                <w:szCs w:val="30"/>
              </w:rPr>
            </w:r>
          </w:p>
        </w:tc>
        <w:tc>
          <w:tcPr>
            <w:tcW w:type="dxa" w:w="1474"/>
            <w:vAlign w:val="top"/>
          </w:tcPr>
          <w:p>
            <w:pPr>
              <w:spacing w:after="0" w:line="240" w:lineRule="auto"/>
              <w:jc w:val="left"/>
            </w:pPr>
            <w:r/>
            <w:r>
              <w:rPr>
                <w:rFonts w:ascii="TH Sarabun New" w:hAnsi="TH Sarabun New" w:cs="TH Sarabun New" w:eastAsia="TH Sarabun New"/>
                <w:b w:val="0"/>
                <w:i w:val="0"/>
                <w:sz w:val="30"/>
                <w:szCs w:val="30"/>
              </w:rPr>
            </w:r>
          </w:p>
        </w:tc>
        <w:tc>
          <w:tcPr>
            <w:tcW w:type="dxa" w:w="3118"/>
            <w:vAlign w:val="top"/>
          </w:tcPr>
          <w:p>
            <w:pPr>
              <w:spacing w:after="0" w:line="240" w:lineRule="auto"/>
              <w:jc w:val="left"/>
            </w:pPr>
            <w:r/>
            <w:r>
              <w:rPr>
                <w:rFonts w:ascii="TH Sarabun New" w:hAnsi="TH Sarabun New" w:cs="TH Sarabun New" w:eastAsia="TH Sarabun New"/>
                <w:b w:val="0"/>
                <w:i w:val="0"/>
                <w:sz w:val="30"/>
                <w:szCs w:val="30"/>
              </w:rPr>
            </w:r>
          </w:p>
        </w:tc>
      </w:tr>
      <w:tr>
        <w:trPr>
          <w:cantSplit/>
        </w:trPr>
        <w:tc>
          <w:tcPr>
            <w:tcW w:type="dxa" w:w="794"/>
            <w:vAlign w:val="top"/>
          </w:tcPr>
          <w:p>
            <w:pPr>
              <w:spacing w:after="0" w:line="240" w:lineRule="auto"/>
              <w:jc w:val="left"/>
            </w:pPr>
            <w:r/>
            <w:r>
              <w:rPr>
                <w:rFonts w:ascii="TH Sarabun New" w:hAnsi="TH Sarabun New" w:cs="TH Sarabun New" w:eastAsia="TH Sarabun New"/>
                <w:b w:val="0"/>
                <w:i w:val="0"/>
                <w:sz w:val="30"/>
                <w:szCs w:val="30"/>
              </w:rPr>
              <w:t>7</w:t>
            </w:r>
          </w:p>
        </w:tc>
        <w:tc>
          <w:tcPr>
            <w:tcW w:type="dxa" w:w="2835"/>
            <w:vAlign w:val="top"/>
          </w:tcPr>
          <w:p>
            <w:pPr>
              <w:spacing w:after="0" w:line="240" w:lineRule="auto"/>
              <w:jc w:val="left"/>
            </w:pPr>
            <w:r/>
            <w:r>
              <w:rPr>
                <w:rFonts w:ascii="TH Sarabun New" w:hAnsi="TH Sarabun New" w:cs="TH Sarabun New" w:eastAsia="TH Sarabun New"/>
                <w:b w:val="0"/>
                <w:i w:val="0"/>
                <w:sz w:val="30"/>
                <w:szCs w:val="30"/>
              </w:rPr>
            </w:r>
          </w:p>
        </w:tc>
        <w:tc>
          <w:tcPr>
            <w:tcW w:type="dxa" w:w="1474"/>
            <w:vAlign w:val="top"/>
          </w:tcPr>
          <w:p>
            <w:pPr>
              <w:spacing w:after="0" w:line="240" w:lineRule="auto"/>
              <w:jc w:val="left"/>
            </w:pPr>
            <w:r/>
            <w:r>
              <w:rPr>
                <w:rFonts w:ascii="TH Sarabun New" w:hAnsi="TH Sarabun New" w:cs="TH Sarabun New" w:eastAsia="TH Sarabun New"/>
                <w:b w:val="0"/>
                <w:i w:val="0"/>
                <w:sz w:val="30"/>
                <w:szCs w:val="30"/>
              </w:rPr>
            </w:r>
          </w:p>
        </w:tc>
        <w:tc>
          <w:tcPr>
            <w:tcW w:type="dxa" w:w="3118"/>
            <w:vAlign w:val="top"/>
          </w:tcPr>
          <w:p>
            <w:pPr>
              <w:spacing w:after="0" w:line="240" w:lineRule="auto"/>
              <w:jc w:val="left"/>
            </w:pPr>
            <w:r/>
            <w:r>
              <w:rPr>
                <w:rFonts w:ascii="TH Sarabun New" w:hAnsi="TH Sarabun New" w:cs="TH Sarabun New" w:eastAsia="TH Sarabun New"/>
                <w:b w:val="0"/>
                <w:i w:val="0"/>
                <w:sz w:val="30"/>
                <w:szCs w:val="30"/>
              </w:rPr>
            </w:r>
          </w:p>
        </w:tc>
      </w:tr>
    </w:tbl>
    <w:p>
      <w:pPr>
        <w:spacing w:after="120"/>
      </w:pPr>
    </w:p>
    <w:p>
      <w:pPr>
        <w:spacing w:line="240" w:lineRule="auto" w:before="160" w:after="0"/>
        <w:jc w:val="left"/>
      </w:pPr>
      <w:r>
        <w:rPr>
          <w:rFonts w:ascii="TH Sarabun New" w:hAnsi="TH Sarabun New" w:cs="TH Sarabun New" w:eastAsia="TH Sarabun New"/>
          <w:b w:val="0"/>
          <w:i/>
          <w:color w:val="808080"/>
          <w:sz w:val="26"/>
          <w:szCs w:val="26"/>
        </w:rPr>
        <w:t>หมายเหตุ: โปรดกรอกรายชื่อ รหัสประจำตัว และหน่วยงานต้นสังกัดของสมาชิกแต่ละท่าน พร้อมระบุหัวหน้ากลุ่มและที่ปรึกษากลุ่ม</w:t>
      </w:r>
    </w:p>
    <w:p>
      <w:r>
        <w:br w:type="page"/>
      </w:r>
    </w:p>
    <w:p>
      <w:pPr>
        <w:spacing w:before="120" w:after="80"/>
      </w:pPr>
      <w:r>
        <w:rPr>
          <w:rFonts w:ascii="TH Sarabun New" w:hAnsi="TH Sarabun New" w:cs="TH Sarabun New"/>
          <w:sz w:val="36"/>
          <w:szCs w:val="36"/>
          <w:b/>
          <w:bCs/>
        </w:rPr>
        <w:t xml:space="preserve">ภาคผนวก ฎ  ส่วนปรับปรุงเพิ่มเติมตามข้อสังเกตของคณะกรรมการ</w:t>
      </w:r>
    </w:p>
    <w:p>
      <w:pPr>
        <w:spacing w:before="0" w:after="80"/>
      </w:pPr>
      <w:r>
        <w:rPr>
          <w:rFonts w:ascii="TH Sarabun New" w:hAnsi="TH Sarabun New" w:cs="TH Sarabun New"/>
          <w:sz w:val="32"/>
          <w:szCs w:val="32"/>
        </w:rPr>
        <w:t xml:space="preserve">ภาคผนวกนี้รวบรวมเนื้อหาที่เพิ่มเติมตามข้อสังเกตของคณะกรรมการ ครอบคลุม (1) โครงสร้างวิสัยทัศน์–ช่องว่าง (2) กรอบการตลาด 4Ps (3) การวิเคราะห์ผลประโยชน์เชิงการเงินและที่ตีเป็นเงินยาก (4) ทะเบียนสมมุติฐานหลักและที่มาของตัวเลข และ (5) ข้อจำกัดของการศึกษา ทั้งนี้ รายละเอียดการคำนวณกลับฉบับเต็มอยู่ในเอกสารแนบ "ส่วนปรับปรุงตามคอมเมนต์กรรมการ"</w:t>
      </w:r>
    </w:p>
    <w:p>
      <w:pPr>
        <w:spacing w:before="160" w:after="80"/>
      </w:pPr>
      <w:r>
        <w:rPr>
          <w:rFonts w:ascii="TH Sarabun New" w:hAnsi="TH Sarabun New" w:cs="TH Sarabun New"/>
          <w:sz w:val="32"/>
          <w:szCs w:val="32"/>
          <w:b/>
          <w:bCs/>
        </w:rPr>
        <w:t xml:space="preserve">ฎ.1 จากวิสัยทัศน์สู่ช่องว่างที่ต้องเติม (Vision → Current State → Gap)</w:t>
      </w:r>
    </w:p>
    <w:p>
      <w:pPr>
        <w:spacing w:before="0" w:after="80"/>
      </w:pPr>
      <w:r>
        <w:rPr>
          <w:rFonts w:ascii="TH Sarabun New" w:hAnsi="TH Sarabun New" w:cs="TH Sarabun New"/>
          <w:sz w:val="32"/>
          <w:szCs w:val="32"/>
        </w:rPr>
        <w:t xml:space="preserve">วิสัยทัศน์ปลายทาง (พ.ศ. 2576): สมุทรปราการเป็นเมืองที่การเดินทางสาธารณะเป็นทางเลือกแรก — แอปเดียว แตะบัตรประชาชนใบเดียว ทางเท้าปลอดภัย Feeder EV ตรงเวลา บ้าน–นิคมบางพลีภายใน ~35 นาที · สภาพปัจจุบัน (2569): พึ่งรถส่วนตัว สัดส่วนขนส่งสาธารณะ ~10–15% ตั๋วแยกส่วน ไม่มี Fare Capping · ช่องว่างที่ต้องปิดสรุปดังตาราง</w:t>
      </w:r>
    </w:p>
    <w:p>
      <w:pPr>
        <w:jc w:val="center"/>
      </w:pPr>
      <w:r>
        <w:drawing>
          <wp:inline xmlns:a="http://schemas.openxmlformats.org/drawingml/2006/main" xmlns:pic="http://schemas.openxmlformats.org/drawingml/2006/picture">
            <wp:extent cx="5669280" cy="2832581"/>
            <wp:docPr id="11" name="Picture 11"/>
            <wp:cNvGraphicFramePr>
              <a:graphicFrameLocks noChangeAspect="1"/>
            </wp:cNvGraphicFramePr>
            <a:graphic>
              <a:graphicData uri="http://schemas.openxmlformats.org/drawingml/2006/picture">
                <pic:pic>
                  <pic:nvPicPr>
                    <pic:cNvPr id="0" name="fig-visiongap.png"/>
                    <pic:cNvPicPr/>
                  </pic:nvPicPr>
                  <pic:blipFill>
                    <a:blip r:embed="rId63"/>
                    <a:stretch>
                      <a:fillRect/>
                    </a:stretch>
                  </pic:blipFill>
                  <pic:spPr>
                    <a:xfrm>
                      <a:off x="0" y="0"/>
                      <a:ext cx="5669280" cy="2832581"/>
                    </a:xfrm>
                    <a:prstGeom prst="rect"/>
                  </pic:spPr>
                </pic:pic>
              </a:graphicData>
            </a:graphic>
          </wp:inline>
        </w:drawing>
      </w:r>
    </w:p>
    <w:p>
      <w:pPr>
        <w:jc w:val="center"/>
      </w:pPr>
      <w:r>
        <w:rPr>
          <w:rFonts w:ascii="TH Sarabun New" w:hAnsi="TH Sarabun New" w:cs="TH Sarabun New"/>
          <w:sz w:val="28"/>
          <w:szCs w:val="28"/>
          <w:b/>
          <w:bCs/>
        </w:rPr>
        <w:t xml:space="preserve">ภาพ ฎ-1  เส้นทางจากสภาพปัจจุบันสู่วิสัยทัศน์ (Vision – Gap – Action)</w:t>
      </w:r>
    </w:p>
    <w:tbl>
      <w:tblPr>
        <w:tblStyle w:val="TableGrid"/>
        <w:tblW w:type="auto" w:w="0"/>
        <w:jc w:val="center"/>
        <w:tblLook w:firstColumn="1" w:firstRow="1" w:lastColumn="0" w:lastRow="0" w:noHBand="0" w:noVBand="1" w:val="04A0"/>
      </w:tblPr>
      <w:tblGrid>
        <w:gridCol w:w="1661"/>
        <w:gridCol w:w="1661"/>
        <w:gridCol w:w="1661"/>
        <w:gridCol w:w="1661"/>
        <w:gridCol w:w="1661"/>
      </w:tblGrid>
      <w:tr>
        <w:tc>
          <w:tcPr>
            <w:tcW w:type="dxa" w:w="1440"/>
          </w:tcPr>
          <w:p>
            <w:pPr>
              <w:spacing w:after="20" w:before="20"/>
            </w:pPr>
            <w:r>
              <w:rPr>
                <w:rFonts w:ascii="TH Sarabun New" w:hAnsi="TH Sarabun New" w:cs="TH Sarabun New"/>
                <w:sz w:val="25"/>
                <w:szCs w:val="25"/>
                <w:b/>
                <w:bCs/>
              </w:rPr>
              <w:t xml:space="preserve">มิติ</w:t>
            </w:r>
          </w:p>
        </w:tc>
        <w:tc>
          <w:tcPr>
            <w:tcW w:type="dxa" w:w="2160"/>
          </w:tcPr>
          <w:p>
            <w:pPr>
              <w:spacing w:after="20" w:before="20"/>
            </w:pPr>
            <w:r>
              <w:rPr>
                <w:rFonts w:ascii="TH Sarabun New" w:hAnsi="TH Sarabun New" w:cs="TH Sarabun New"/>
                <w:sz w:val="25"/>
                <w:szCs w:val="25"/>
                <w:b/>
                <w:bCs/>
              </w:rPr>
              <w:t xml:space="preserve">ปัจจุบัน 2569</w:t>
            </w:r>
          </w:p>
        </w:tc>
        <w:tc>
          <w:tcPr>
            <w:tcW w:type="dxa" w:w="2160"/>
          </w:tcPr>
          <w:p>
            <w:pPr>
              <w:spacing w:after="20" w:before="20"/>
            </w:pPr>
            <w:r>
              <w:rPr>
                <w:rFonts w:ascii="TH Sarabun New" w:hAnsi="TH Sarabun New" w:cs="TH Sarabun New"/>
                <w:sz w:val="25"/>
                <w:szCs w:val="25"/>
                <w:b/>
                <w:bCs/>
              </w:rPr>
              <w:t xml:space="preserve">วิสัยทัศน์ 2576</w:t>
            </w:r>
          </w:p>
        </w:tc>
        <w:tc>
          <w:tcPr>
            <w:tcW w:type="dxa" w:w="1872"/>
          </w:tcPr>
          <w:p>
            <w:pPr>
              <w:spacing w:after="20" w:before="20"/>
            </w:pPr>
            <w:r>
              <w:rPr>
                <w:rFonts w:ascii="TH Sarabun New" w:hAnsi="TH Sarabun New" w:cs="TH Sarabun New"/>
                <w:sz w:val="25"/>
                <w:szCs w:val="25"/>
                <w:b/>
                <w:bCs/>
              </w:rPr>
              <w:t xml:space="preserve">เสาหลัก/กลไกที่ปิด</w:t>
            </w:r>
          </w:p>
        </w:tc>
        <w:tc>
          <w:tcPr>
            <w:tcW w:type="dxa" w:w="1440"/>
          </w:tcPr>
          <w:p>
            <w:pPr>
              <w:spacing w:after="20" w:before="20"/>
            </w:pPr>
            <w:r>
              <w:rPr>
                <w:rFonts w:ascii="TH Sarabun New" w:hAnsi="TH Sarabun New" w:cs="TH Sarabun New"/>
                <w:sz w:val="25"/>
                <w:szCs w:val="25"/>
                <w:b/>
                <w:bCs/>
              </w:rPr>
              <w:t xml:space="preserve">KPI</w:t>
            </w:r>
          </w:p>
        </w:tc>
      </w:tr>
      <w:tr>
        <w:tc>
          <w:tcPr>
            <w:tcW w:type="dxa" w:w="1440"/>
          </w:tcPr>
          <w:p>
            <w:pPr>
              <w:spacing w:after="20" w:before="20"/>
            </w:pPr>
            <w:r>
              <w:rPr>
                <w:rFonts w:ascii="TH Sarabun New" w:hAnsi="TH Sarabun New" w:cs="TH Sarabun New"/>
                <w:sz w:val="24"/>
                <w:szCs w:val="24"/>
              </w:rPr>
              <w:t xml:space="preserve">ตั๋ว/ชำระเงิน</w:t>
            </w:r>
          </w:p>
        </w:tc>
        <w:tc>
          <w:tcPr>
            <w:tcW w:type="dxa" w:w="2160"/>
          </w:tcPr>
          <w:p>
            <w:pPr>
              <w:spacing w:after="20" w:before="20"/>
            </w:pPr>
            <w:r>
              <w:rPr>
                <w:rFonts w:ascii="TH Sarabun New" w:hAnsi="TH Sarabun New" w:cs="TH Sarabun New"/>
                <w:sz w:val="24"/>
                <w:szCs w:val="24"/>
              </w:rPr>
              <w:t xml:space="preserve">ตั๋วแยก 3+ ระบบ ไม่มี Fare Cap</w:t>
            </w:r>
          </w:p>
        </w:tc>
        <w:tc>
          <w:tcPr>
            <w:tcW w:type="dxa" w:w="2160"/>
          </w:tcPr>
          <w:p>
            <w:pPr>
              <w:spacing w:after="20" w:before="20"/>
            </w:pPr>
            <w:r>
              <w:rPr>
                <w:rFonts w:ascii="TH Sarabun New" w:hAnsi="TH Sarabun New" w:cs="TH Sarabun New"/>
                <w:sz w:val="24"/>
                <w:szCs w:val="24"/>
              </w:rPr>
              <w:t xml:space="preserve">แตะเดียวทุกโหมด EMV/ABT + เพดานค่าโดยสาร</w:t>
            </w:r>
          </w:p>
        </w:tc>
        <w:tc>
          <w:tcPr>
            <w:tcW w:type="dxa" w:w="1872"/>
          </w:tcPr>
          <w:p>
            <w:pPr>
              <w:spacing w:after="20" w:before="20"/>
            </w:pPr>
            <w:r>
              <w:rPr>
                <w:rFonts w:ascii="TH Sarabun New" w:hAnsi="TH Sarabun New" w:cs="TH Sarabun New"/>
                <w:sz w:val="24"/>
                <w:szCs w:val="24"/>
              </w:rPr>
              <w:t xml:space="preserve">เสา 1 + NTCH</w:t>
            </w:r>
          </w:p>
        </w:tc>
        <w:tc>
          <w:tcPr>
            <w:tcW w:type="dxa" w:w="1440"/>
          </w:tcPr>
          <w:p>
            <w:pPr>
              <w:spacing w:after="20" w:before="20"/>
            </w:pPr>
            <w:r>
              <w:rPr>
                <w:rFonts w:ascii="TH Sarabun New" w:hAnsi="TH Sarabun New" w:cs="TH Sarabun New"/>
                <w:sz w:val="24"/>
                <w:szCs w:val="24"/>
              </w:rPr>
              <w:t xml:space="preserve">EMV/ABT ≥80%</w:t>
            </w:r>
          </w:p>
        </w:tc>
      </w:tr>
      <w:tr>
        <w:tc>
          <w:tcPr>
            <w:tcW w:type="dxa" w:w="1440"/>
          </w:tcPr>
          <w:p>
            <w:pPr>
              <w:spacing w:after="20" w:before="20"/>
            </w:pPr>
            <w:r>
              <w:rPr>
                <w:rFonts w:ascii="TH Sarabun New" w:hAnsi="TH Sarabun New" w:cs="TH Sarabun New"/>
                <w:sz w:val="24"/>
                <w:szCs w:val="24"/>
              </w:rPr>
              <w:t xml:space="preserve">แอป/ข้อมูล</w:t>
            </w:r>
          </w:p>
        </w:tc>
        <w:tc>
          <w:tcPr>
            <w:tcW w:type="dxa" w:w="2160"/>
          </w:tcPr>
          <w:p>
            <w:pPr>
              <w:spacing w:after="20" w:before="20"/>
            </w:pPr>
            <w:r>
              <w:rPr>
                <w:rFonts w:ascii="TH Sarabun New" w:hAnsi="TH Sarabun New" w:cs="TH Sarabun New"/>
                <w:sz w:val="24"/>
                <w:szCs w:val="24"/>
              </w:rPr>
              <w:t xml:space="preserve">หลายแอป ข้อมูลไม่เปิด</w:t>
            </w:r>
          </w:p>
        </w:tc>
        <w:tc>
          <w:tcPr>
            <w:tcW w:type="dxa" w:w="2160"/>
          </w:tcPr>
          <w:p>
            <w:pPr>
              <w:spacing w:after="20" w:before="20"/>
            </w:pPr>
            <w:r>
              <w:rPr>
                <w:rFonts w:ascii="TH Sarabun New" w:hAnsi="TH Sarabun New" w:cs="TH Sarabun New"/>
                <w:sz w:val="24"/>
                <w:szCs w:val="24"/>
              </w:rPr>
              <w:t xml:space="preserve">แอปเดียว public-led + Open Data</w:t>
            </w:r>
          </w:p>
        </w:tc>
        <w:tc>
          <w:tcPr>
            <w:tcW w:type="dxa" w:w="1872"/>
          </w:tcPr>
          <w:p>
            <w:pPr>
              <w:spacing w:after="20" w:before="20"/>
            </w:pPr>
            <w:r>
              <w:rPr>
                <w:rFonts w:ascii="TH Sarabun New" w:hAnsi="TH Sarabun New" w:cs="TH Sarabun New"/>
                <w:sz w:val="24"/>
                <w:szCs w:val="24"/>
              </w:rPr>
              <w:t xml:space="preserve">เสา 2</w:t>
            </w:r>
          </w:p>
        </w:tc>
        <w:tc>
          <w:tcPr>
            <w:tcW w:type="dxa" w:w="1440"/>
          </w:tcPr>
          <w:p>
            <w:pPr>
              <w:spacing w:after="20" w:before="20"/>
            </w:pPr>
            <w:r>
              <w:rPr>
                <w:rFonts w:ascii="TH Sarabun New" w:hAnsi="TH Sarabun New" w:cs="TH Sarabun New"/>
                <w:sz w:val="24"/>
                <w:szCs w:val="24"/>
              </w:rPr>
              <w:t xml:space="preserve">ผู้ใช้ MaaS · NPS +40%</w:t>
            </w:r>
          </w:p>
        </w:tc>
      </w:tr>
      <w:tr>
        <w:tc>
          <w:tcPr>
            <w:tcW w:type="dxa" w:w="1440"/>
          </w:tcPr>
          <w:p>
            <w:pPr>
              <w:spacing w:after="20" w:before="20"/>
            </w:pPr>
            <w:r>
              <w:rPr>
                <w:rFonts w:ascii="TH Sarabun New" w:hAnsi="TH Sarabun New" w:cs="TH Sarabun New"/>
                <w:sz w:val="24"/>
                <w:szCs w:val="24"/>
              </w:rPr>
              <w:t xml:space="preserve">คนเดิน/Feeder</w:t>
            </w:r>
          </w:p>
        </w:tc>
        <w:tc>
          <w:tcPr>
            <w:tcW w:type="dxa" w:w="2160"/>
          </w:tcPr>
          <w:p>
            <w:pPr>
              <w:spacing w:after="20" w:before="20"/>
            </w:pPr>
            <w:r>
              <w:rPr>
                <w:rFonts w:ascii="TH Sarabun New" w:hAnsi="TH Sarabun New" w:cs="TH Sarabun New"/>
                <w:sz w:val="24"/>
                <w:szCs w:val="24"/>
              </w:rPr>
              <w:t xml:space="preserve">ทางเท้าแคบ First/Last อ่อน</w:t>
            </w:r>
          </w:p>
        </w:tc>
        <w:tc>
          <w:tcPr>
            <w:tcW w:type="dxa" w:w="2160"/>
          </w:tcPr>
          <w:p>
            <w:pPr>
              <w:spacing w:after="20" w:before="20"/>
            </w:pPr>
            <w:r>
              <w:rPr>
                <w:rFonts w:ascii="TH Sarabun New" w:hAnsi="TH Sarabun New" w:cs="TH Sarabun New"/>
                <w:sz w:val="24"/>
                <w:szCs w:val="24"/>
              </w:rPr>
              <w:t xml:space="preserve">Complete Streets + Feeder EV</w:t>
            </w:r>
          </w:p>
        </w:tc>
        <w:tc>
          <w:tcPr>
            <w:tcW w:type="dxa" w:w="1872"/>
          </w:tcPr>
          <w:p>
            <w:pPr>
              <w:spacing w:after="20" w:before="20"/>
            </w:pPr>
            <w:r>
              <w:rPr>
                <w:rFonts w:ascii="TH Sarabun New" w:hAnsi="TH Sarabun New" w:cs="TH Sarabun New"/>
                <w:sz w:val="24"/>
                <w:szCs w:val="24"/>
              </w:rPr>
              <w:t xml:space="preserve">เสา 3</w:t>
            </w:r>
          </w:p>
        </w:tc>
        <w:tc>
          <w:tcPr>
            <w:tcW w:type="dxa" w:w="1440"/>
          </w:tcPr>
          <w:p>
            <w:pPr>
              <w:spacing w:after="20" w:before="20"/>
            </w:pPr>
            <w:r>
              <w:rPr>
                <w:rFonts w:ascii="TH Sarabun New" w:hAnsi="TH Sarabun New" w:cs="TH Sarabun New"/>
                <w:sz w:val="24"/>
                <w:szCs w:val="24"/>
              </w:rPr>
              <w:t xml:space="preserve">First/Last ≤10 นาที</w:t>
            </w:r>
          </w:p>
        </w:tc>
      </w:tr>
      <w:tr>
        <w:tc>
          <w:tcPr>
            <w:tcW w:type="dxa" w:w="1440"/>
          </w:tcPr>
          <w:p>
            <w:pPr>
              <w:spacing w:after="20" w:before="20"/>
            </w:pPr>
            <w:r>
              <w:rPr>
                <w:rFonts w:ascii="TH Sarabun New" w:hAnsi="TH Sarabun New" w:cs="TH Sarabun New"/>
                <w:sz w:val="24"/>
                <w:szCs w:val="24"/>
              </w:rPr>
              <w:t xml:space="preserve">ราคา/จูงใจ</w:t>
            </w:r>
          </w:p>
        </w:tc>
        <w:tc>
          <w:tcPr>
            <w:tcW w:type="dxa" w:w="2160"/>
          </w:tcPr>
          <w:p>
            <w:pPr>
              <w:spacing w:after="20" w:before="20"/>
            </w:pPr>
            <w:r>
              <w:rPr>
                <w:rFonts w:ascii="TH Sarabun New" w:hAnsi="TH Sarabun New" w:cs="TH Sarabun New"/>
                <w:sz w:val="24"/>
                <w:szCs w:val="24"/>
              </w:rPr>
              <w:t xml:space="preserve">ค่าแรกเข้าซ้ำซ้อน</w:t>
            </w:r>
          </w:p>
        </w:tc>
        <w:tc>
          <w:tcPr>
            <w:tcW w:type="dxa" w:w="2160"/>
          </w:tcPr>
          <w:p>
            <w:pPr>
              <w:spacing w:after="20" w:before="20"/>
            </w:pPr>
            <w:r>
              <w:rPr>
                <w:rFonts w:ascii="TH Sarabun New" w:hAnsi="TH Sarabun New" w:cs="TH Sarabun New"/>
                <w:sz w:val="24"/>
                <w:szCs w:val="24"/>
              </w:rPr>
              <w:t xml:space="preserve">ราคารวมเป็นธรรม + ภาษีจูงใจ</w:t>
            </w:r>
          </w:p>
        </w:tc>
        <w:tc>
          <w:tcPr>
            <w:tcW w:type="dxa" w:w="1872"/>
          </w:tcPr>
          <w:p>
            <w:pPr>
              <w:spacing w:after="20" w:before="20"/>
            </w:pPr>
            <w:r>
              <w:rPr>
                <w:rFonts w:ascii="TH Sarabun New" w:hAnsi="TH Sarabun New" w:cs="TH Sarabun New"/>
                <w:sz w:val="24"/>
                <w:szCs w:val="24"/>
              </w:rPr>
              <w:t xml:space="preserve">เสา 4</w:t>
            </w:r>
          </w:p>
        </w:tc>
        <w:tc>
          <w:tcPr>
            <w:tcW w:type="dxa" w:w="1440"/>
          </w:tcPr>
          <w:p>
            <w:pPr>
              <w:spacing w:after="20" w:before="20"/>
            </w:pPr>
            <w:r>
              <w:rPr>
                <w:rFonts w:ascii="TH Sarabun New" w:hAnsi="TH Sarabun New" w:cs="TH Sarabun New"/>
                <w:sz w:val="24"/>
                <w:szCs w:val="24"/>
              </w:rPr>
              <w:t xml:space="preserve">Modal share ≥20%</w:t>
            </w:r>
          </w:p>
        </w:tc>
      </w:tr>
      <w:tr>
        <w:tc>
          <w:tcPr>
            <w:tcW w:type="dxa" w:w="1440"/>
          </w:tcPr>
          <w:p>
            <w:pPr>
              <w:spacing w:after="20" w:before="20"/>
            </w:pPr>
            <w:r>
              <w:rPr>
                <w:rFonts w:ascii="TH Sarabun New" w:hAnsi="TH Sarabun New" w:cs="TH Sarabun New"/>
                <w:sz w:val="24"/>
                <w:szCs w:val="24"/>
              </w:rPr>
              <w:t xml:space="preserve">ธรรมาภิบาล</w:t>
            </w:r>
          </w:p>
        </w:tc>
        <w:tc>
          <w:tcPr>
            <w:tcW w:type="dxa" w:w="2160"/>
          </w:tcPr>
          <w:p>
            <w:pPr>
              <w:spacing w:after="20" w:before="20"/>
            </w:pPr>
            <w:r>
              <w:rPr>
                <w:rFonts w:ascii="TH Sarabun New" w:hAnsi="TH Sarabun New" w:cs="TH Sarabun New"/>
                <w:sz w:val="24"/>
                <w:szCs w:val="24"/>
              </w:rPr>
              <w:t xml:space="preserve">แยกตามโหมด ไม่มีเจ้าภาพ</w:t>
            </w:r>
          </w:p>
        </w:tc>
        <w:tc>
          <w:tcPr>
            <w:tcW w:type="dxa" w:w="2160"/>
          </w:tcPr>
          <w:p>
            <w:pPr>
              <w:spacing w:after="20" w:before="20"/>
            </w:pPr>
            <w:r>
              <w:rPr>
                <w:rFonts w:ascii="TH Sarabun New" w:hAnsi="TH Sarabun New" w:cs="TH Sarabun New"/>
                <w:sz w:val="24"/>
                <w:szCs w:val="24"/>
              </w:rPr>
              <w:t xml:space="preserve">NTCH เป็นเจ้าภาพกลาง</w:t>
            </w:r>
          </w:p>
        </w:tc>
        <w:tc>
          <w:tcPr>
            <w:tcW w:type="dxa" w:w="1872"/>
          </w:tcPr>
          <w:p>
            <w:pPr>
              <w:spacing w:after="20" w:before="20"/>
            </w:pPr>
            <w:r>
              <w:rPr>
                <w:rFonts w:ascii="TH Sarabun New" w:hAnsi="TH Sarabun New" w:cs="TH Sarabun New"/>
                <w:sz w:val="24"/>
                <w:szCs w:val="24"/>
              </w:rPr>
              <w:t xml:space="preserve">NTCH + กฎหมายลูก</w:t>
            </w:r>
          </w:p>
        </w:tc>
        <w:tc>
          <w:tcPr>
            <w:tcW w:type="dxa" w:w="1440"/>
          </w:tcPr>
          <w:p>
            <w:pPr>
              <w:spacing w:after="20" w:before="20"/>
            </w:pPr>
            <w:r>
              <w:rPr>
                <w:rFonts w:ascii="TH Sarabun New" w:hAnsi="TH Sarabun New" w:cs="TH Sarabun New"/>
                <w:sz w:val="24"/>
                <w:szCs w:val="24"/>
              </w:rPr>
              <w:t xml:space="preserve">trips ผ่านระบบกลาง</w:t>
            </w:r>
          </w:p>
        </w:tc>
      </w:tr>
      <w:tr>
        <w:tc>
          <w:tcPr>
            <w:tcW w:type="dxa" w:w="1440"/>
          </w:tcPr>
          <w:p>
            <w:pPr>
              <w:spacing w:after="20" w:before="20"/>
            </w:pPr>
            <w:r>
              <w:rPr>
                <w:rFonts w:ascii="TH Sarabun New" w:hAnsi="TH Sarabun New" w:cs="TH Sarabun New"/>
                <w:sz w:val="24"/>
                <w:szCs w:val="24"/>
              </w:rPr>
              <w:t xml:space="preserve">ภูมิคุ้มกันภูมิอากาศ</w:t>
            </w:r>
          </w:p>
        </w:tc>
        <w:tc>
          <w:tcPr>
            <w:tcW w:type="dxa" w:w="2160"/>
          </w:tcPr>
          <w:p>
            <w:pPr>
              <w:spacing w:after="20" w:before="20"/>
            </w:pPr>
            <w:r>
              <w:rPr>
                <w:rFonts w:ascii="TH Sarabun New" w:hAnsi="TH Sarabun New" w:cs="TH Sarabun New"/>
                <w:sz w:val="24"/>
                <w:szCs w:val="24"/>
              </w:rPr>
              <w:t xml:space="preserve">ออกแบบไม่รวม resilience</w:t>
            </w:r>
          </w:p>
        </w:tc>
        <w:tc>
          <w:tcPr>
            <w:tcW w:type="dxa" w:w="2160"/>
          </w:tcPr>
          <w:p>
            <w:pPr>
              <w:spacing w:after="20" w:before="20"/>
            </w:pPr>
            <w:r>
              <w:rPr>
                <w:rFonts w:ascii="TH Sarabun New" w:hAnsi="TH Sarabun New" w:cs="TH Sarabun New"/>
                <w:sz w:val="24"/>
                <w:szCs w:val="24"/>
              </w:rPr>
              <w:t xml:space="preserve">Mobility ทนน้ำท่วม-ทรุด</w:t>
            </w:r>
          </w:p>
        </w:tc>
        <w:tc>
          <w:tcPr>
            <w:tcW w:type="dxa" w:w="1872"/>
          </w:tcPr>
          <w:p>
            <w:pPr>
              <w:spacing w:after="20" w:before="20"/>
            </w:pPr>
            <w:r>
              <w:rPr>
                <w:rFonts w:ascii="TH Sarabun New" w:hAnsi="TH Sarabun New" w:cs="TH Sarabun New"/>
                <w:sz w:val="24"/>
                <w:szCs w:val="24"/>
              </w:rPr>
              <w:t xml:space="preserve">เสา 3 (resilient)</w:t>
            </w:r>
          </w:p>
        </w:tc>
        <w:tc>
          <w:tcPr>
            <w:tcW w:type="dxa" w:w="1440"/>
          </w:tcPr>
          <w:p>
            <w:pPr>
              <w:spacing w:after="20" w:before="20"/>
            </w:pPr>
            <w:r>
              <w:rPr>
                <w:rFonts w:ascii="TH Sarabun New" w:hAnsi="TH Sarabun New" w:cs="TH Sarabun New"/>
                <w:sz w:val="24"/>
                <w:szCs w:val="24"/>
              </w:rPr>
              <w:t xml:space="preserve">วันใช้งานได้/ปี</w:t>
            </w:r>
          </w:p>
        </w:tc>
      </w:tr>
    </w:tbl>
    <w:p>
      <w:pPr>
        <w:spacing w:before="160" w:after="80"/>
      </w:pPr>
      <w:r>
        <w:rPr>
          <w:rFonts w:ascii="TH Sarabun New" w:hAnsi="TH Sarabun New" w:cs="TH Sarabun New"/>
          <w:sz w:val="32"/>
          <w:szCs w:val="32"/>
          <w:b/>
          <w:bCs/>
        </w:rPr>
        <w:t xml:space="preserve">ฎ.2 การออกแบบข้อเสนอคุณค่าด้วยกรอบการตลาด 4Ps</w:t>
      </w:r>
    </w:p>
    <w:tbl>
      <w:tblPr>
        <w:tblStyle w:val="TableGrid"/>
        <w:tblW w:type="auto" w:w="0"/>
        <w:jc w:val="center"/>
        <w:tblLook w:firstColumn="1" w:firstRow="1" w:lastColumn="0" w:lastRow="0" w:noHBand="0" w:noVBand="1" w:val="04A0"/>
      </w:tblPr>
      <w:tblGrid>
        <w:gridCol w:w="2076"/>
        <w:gridCol w:w="2076"/>
        <w:gridCol w:w="2076"/>
        <w:gridCol w:w="2076"/>
      </w:tblGrid>
      <w:tr>
        <w:tc>
          <w:tcPr>
            <w:tcW w:type="dxa" w:w="1296"/>
          </w:tcPr>
          <w:p>
            <w:pPr>
              <w:spacing w:after="20" w:before="20"/>
            </w:pPr>
            <w:r>
              <w:rPr>
                <w:rFonts w:ascii="TH Sarabun New" w:hAnsi="TH Sarabun New" w:cs="TH Sarabun New"/>
                <w:sz w:val="25"/>
                <w:szCs w:val="25"/>
                <w:b/>
                <w:bCs/>
              </w:rPr>
              <w:t xml:space="preserve">P</w:t>
            </w:r>
          </w:p>
        </w:tc>
        <w:tc>
          <w:tcPr>
            <w:tcW w:type="dxa" w:w="3888"/>
          </w:tcPr>
          <w:p>
            <w:pPr>
              <w:spacing w:after="20" w:before="20"/>
            </w:pPr>
            <w:r>
              <w:rPr>
                <w:rFonts w:ascii="TH Sarabun New" w:hAnsi="TH Sarabun New" w:cs="TH Sarabun New"/>
                <w:sz w:val="25"/>
                <w:szCs w:val="25"/>
                <w:b/>
                <w:bCs/>
              </w:rPr>
              <w:t xml:space="preserve">สาระสำคัญ</w:t>
            </w:r>
          </w:p>
        </w:tc>
        <w:tc>
          <w:tcPr>
            <w:tcW w:type="dxa" w:w="1440"/>
          </w:tcPr>
          <w:p>
            <w:pPr>
              <w:spacing w:after="20" w:before="20"/>
            </w:pPr>
            <w:r>
              <w:rPr>
                <w:rFonts w:ascii="TH Sarabun New" w:hAnsi="TH Sarabun New" w:cs="TH Sarabun New"/>
                <w:sz w:val="25"/>
                <w:szCs w:val="25"/>
                <w:b/>
                <w:bCs/>
              </w:rPr>
              <w:t xml:space="preserve">เชื่อมเสาหลัก</w:t>
            </w:r>
          </w:p>
        </w:tc>
        <w:tc>
          <w:tcPr>
            <w:tcW w:type="dxa" w:w="2448"/>
          </w:tcPr>
          <w:p>
            <w:pPr>
              <w:spacing w:after="20" w:before="20"/>
            </w:pPr>
            <w:r>
              <w:rPr>
                <w:rFonts w:ascii="TH Sarabun New" w:hAnsi="TH Sarabun New" w:cs="TH Sarabun New"/>
                <w:sz w:val="25"/>
                <w:szCs w:val="25"/>
                <w:b/>
                <w:bCs/>
              </w:rPr>
              <w:t xml:space="preserve">เชื่อม KPI</w:t>
            </w:r>
          </w:p>
        </w:tc>
      </w:tr>
      <w:tr>
        <w:tc>
          <w:tcPr>
            <w:tcW w:type="dxa" w:w="1296"/>
          </w:tcPr>
          <w:p>
            <w:pPr>
              <w:spacing w:after="20" w:before="20"/>
            </w:pPr>
            <w:r>
              <w:rPr>
                <w:rFonts w:ascii="TH Sarabun New" w:hAnsi="TH Sarabun New" w:cs="TH Sarabun New"/>
                <w:sz w:val="24"/>
                <w:szCs w:val="24"/>
              </w:rPr>
              <w:t xml:space="preserve">Product</w:t>
            </w:r>
          </w:p>
        </w:tc>
        <w:tc>
          <w:tcPr>
            <w:tcW w:type="dxa" w:w="3888"/>
          </w:tcPr>
          <w:p>
            <w:pPr>
              <w:spacing w:after="20" w:before="20"/>
            </w:pPr>
            <w:r>
              <w:rPr>
                <w:rFonts w:ascii="TH Sarabun New" w:hAnsi="TH Sarabun New" w:cs="TH Sarabun New"/>
                <w:sz w:val="24"/>
                <w:szCs w:val="24"/>
              </w:rPr>
              <w:t xml:space="preserve">ประสบการณ์เดินทางไร้รอยต่อ (core/actual/augmented)</w:t>
            </w:r>
          </w:p>
        </w:tc>
        <w:tc>
          <w:tcPr>
            <w:tcW w:type="dxa" w:w="1440"/>
          </w:tcPr>
          <w:p>
            <w:pPr>
              <w:spacing w:after="20" w:before="20"/>
            </w:pPr>
            <w:r>
              <w:rPr>
                <w:rFonts w:ascii="TH Sarabun New" w:hAnsi="TH Sarabun New" w:cs="TH Sarabun New"/>
                <w:sz w:val="24"/>
                <w:szCs w:val="24"/>
              </w:rPr>
              <w:t xml:space="preserve">1+2+3</w:t>
            </w:r>
          </w:p>
        </w:tc>
        <w:tc>
          <w:tcPr>
            <w:tcW w:type="dxa" w:w="2448"/>
          </w:tcPr>
          <w:p>
            <w:pPr>
              <w:spacing w:after="20" w:before="20"/>
            </w:pPr>
            <w:r>
              <w:rPr>
                <w:rFonts w:ascii="TH Sarabun New" w:hAnsi="TH Sarabun New" w:cs="TH Sarabun New"/>
                <w:sz w:val="24"/>
                <w:szCs w:val="24"/>
              </w:rPr>
              <w:t xml:space="preserve">NPS +40% · ผู้ใช้ใหม่ +8–15%</w:t>
            </w:r>
          </w:p>
        </w:tc>
      </w:tr>
      <w:tr>
        <w:tc>
          <w:tcPr>
            <w:tcW w:type="dxa" w:w="1296"/>
          </w:tcPr>
          <w:p>
            <w:pPr>
              <w:spacing w:after="20" w:before="20"/>
            </w:pPr>
            <w:r>
              <w:rPr>
                <w:rFonts w:ascii="TH Sarabun New" w:hAnsi="TH Sarabun New" w:cs="TH Sarabun New"/>
                <w:sz w:val="24"/>
                <w:szCs w:val="24"/>
              </w:rPr>
              <w:t xml:space="preserve">Price</w:t>
            </w:r>
          </w:p>
        </w:tc>
        <w:tc>
          <w:tcPr>
            <w:tcW w:type="dxa" w:w="3888"/>
          </w:tcPr>
          <w:p>
            <w:pPr>
              <w:spacing w:after="20" w:before="20"/>
            </w:pPr>
            <w:r>
              <w:rPr>
                <w:rFonts w:ascii="TH Sarabun New" w:hAnsi="TH Sarabun New" w:cs="TH Sarabun New"/>
                <w:sz w:val="24"/>
                <w:szCs w:val="24"/>
              </w:rPr>
              <w:t xml:space="preserve">Fare Capping · ค่าแรกเข้าครั้งเดียว · บัตรรายปี (เทียบเวียนนา 365€) · ภาษีจูงใจ</w:t>
            </w:r>
          </w:p>
        </w:tc>
        <w:tc>
          <w:tcPr>
            <w:tcW w:type="dxa" w:w="1440"/>
          </w:tcPr>
          <w:p>
            <w:pPr>
              <w:spacing w:after="20" w:before="20"/>
            </w:pPr>
            <w:r>
              <w:rPr>
                <w:rFonts w:ascii="TH Sarabun New" w:hAnsi="TH Sarabun New" w:cs="TH Sarabun New"/>
                <w:sz w:val="24"/>
                <w:szCs w:val="24"/>
              </w:rPr>
              <w:t xml:space="preserve">1+4</w:t>
            </w:r>
          </w:p>
        </w:tc>
        <w:tc>
          <w:tcPr>
            <w:tcW w:type="dxa" w:w="2448"/>
          </w:tcPr>
          <w:p>
            <w:pPr>
              <w:spacing w:after="20" w:before="20"/>
            </w:pPr>
            <w:r>
              <w:rPr>
                <w:rFonts w:ascii="TH Sarabun New" w:hAnsi="TH Sarabun New" w:cs="TH Sarabun New"/>
                <w:sz w:val="24"/>
                <w:szCs w:val="24"/>
              </w:rPr>
              <w:t xml:space="preserve">Modal share ≥20%</w:t>
            </w:r>
          </w:p>
        </w:tc>
      </w:tr>
      <w:tr>
        <w:tc>
          <w:tcPr>
            <w:tcW w:type="dxa" w:w="1296"/>
          </w:tcPr>
          <w:p>
            <w:pPr>
              <w:spacing w:after="20" w:before="20"/>
            </w:pPr>
            <w:r>
              <w:rPr>
                <w:rFonts w:ascii="TH Sarabun New" w:hAnsi="TH Sarabun New" w:cs="TH Sarabun New"/>
                <w:sz w:val="24"/>
                <w:szCs w:val="24"/>
              </w:rPr>
              <w:t xml:space="preserve">Place</w:t>
            </w:r>
          </w:p>
        </w:tc>
        <w:tc>
          <w:tcPr>
            <w:tcW w:type="dxa" w:w="3888"/>
          </w:tcPr>
          <w:p>
            <w:pPr>
              <w:spacing w:after="20" w:before="20"/>
            </w:pPr>
            <w:r>
              <w:rPr>
                <w:rFonts w:ascii="TH Sarabun New" w:hAnsi="TH Sarabun New" w:cs="TH Sarabun New"/>
                <w:sz w:val="24"/>
                <w:szCs w:val="24"/>
              </w:rPr>
              <w:t xml:space="preserve">สถานี/Park&amp;Ride/แอป/EMV · First/Last mile</w:t>
            </w:r>
          </w:p>
        </w:tc>
        <w:tc>
          <w:tcPr>
            <w:tcW w:type="dxa" w:w="1440"/>
          </w:tcPr>
          <w:p>
            <w:pPr>
              <w:spacing w:after="20" w:before="20"/>
            </w:pPr>
            <w:r>
              <w:rPr>
                <w:rFonts w:ascii="TH Sarabun New" w:hAnsi="TH Sarabun New" w:cs="TH Sarabun New"/>
                <w:sz w:val="24"/>
                <w:szCs w:val="24"/>
              </w:rPr>
              <w:t xml:space="preserve">1+2+3</w:t>
            </w:r>
          </w:p>
        </w:tc>
        <w:tc>
          <w:tcPr>
            <w:tcW w:type="dxa" w:w="2448"/>
          </w:tcPr>
          <w:p>
            <w:pPr>
              <w:spacing w:after="20" w:before="20"/>
            </w:pPr>
            <w:r>
              <w:rPr>
                <w:rFonts w:ascii="TH Sarabun New" w:hAnsi="TH Sarabun New" w:cs="TH Sarabun New"/>
                <w:sz w:val="24"/>
                <w:szCs w:val="24"/>
              </w:rPr>
              <w:t xml:space="preserve">First/Last ≤10 นาที</w:t>
            </w:r>
          </w:p>
        </w:tc>
      </w:tr>
      <w:tr>
        <w:tc>
          <w:tcPr>
            <w:tcW w:type="dxa" w:w="1296"/>
          </w:tcPr>
          <w:p>
            <w:pPr>
              <w:spacing w:after="20" w:before="20"/>
            </w:pPr>
            <w:r>
              <w:rPr>
                <w:rFonts w:ascii="TH Sarabun New" w:hAnsi="TH Sarabun New" w:cs="TH Sarabun New"/>
                <w:sz w:val="24"/>
                <w:szCs w:val="24"/>
              </w:rPr>
              <w:t xml:space="preserve">Promotion</w:t>
            </w:r>
          </w:p>
        </w:tc>
        <w:tc>
          <w:tcPr>
            <w:tcW w:type="dxa" w:w="3888"/>
          </w:tcPr>
          <w:p>
            <w:pPr>
              <w:spacing w:after="20" w:before="20"/>
            </w:pPr>
            <w:r>
              <w:rPr>
                <w:rFonts w:ascii="TH Sarabun New" w:hAnsi="TH Sarabun New" w:cs="TH Sarabun New"/>
                <w:sz w:val="24"/>
                <w:szCs w:val="24"/>
              </w:rPr>
              <w:t xml:space="preserve">Show-don't-tell · นายจ้างนิคม · Quick Win · Change Mgmt</w:t>
            </w:r>
          </w:p>
        </w:tc>
        <w:tc>
          <w:tcPr>
            <w:tcW w:type="dxa" w:w="1440"/>
          </w:tcPr>
          <w:p>
            <w:pPr>
              <w:spacing w:after="20" w:before="20"/>
            </w:pPr>
            <w:r>
              <w:rPr>
                <w:rFonts w:ascii="TH Sarabun New" w:hAnsi="TH Sarabun New" w:cs="TH Sarabun New"/>
                <w:sz w:val="24"/>
                <w:szCs w:val="24"/>
              </w:rPr>
              <w:t xml:space="preserve">4 + แผนสื่อสาร</w:t>
            </w:r>
          </w:p>
        </w:tc>
        <w:tc>
          <w:tcPr>
            <w:tcW w:type="dxa" w:w="2448"/>
          </w:tcPr>
          <w:p>
            <w:pPr>
              <w:spacing w:after="20" w:before="20"/>
            </w:pPr>
            <w:r>
              <w:rPr>
                <w:rFonts w:ascii="TH Sarabun New" w:hAnsi="TH Sarabun New" w:cs="TH Sarabun New"/>
                <w:sz w:val="24"/>
                <w:szCs w:val="24"/>
              </w:rPr>
              <w:t xml:space="preserve">Take-up rate · NPS</w:t>
            </w:r>
          </w:p>
        </w:tc>
      </w:tr>
    </w:tbl>
    <w:p>
      <w:pPr>
        <w:spacing w:before="0" w:after="80"/>
      </w:pPr>
      <w:r>
        <w:rPr>
          <w:rFonts w:ascii="TH Sarabun New" w:hAnsi="TH Sarabun New" w:cs="TH Sarabun New"/>
          <w:sz w:val="30"/>
          <w:szCs w:val="30"/>
        </w:rPr>
        <w:t xml:space="preserve">ข้อควรระวังเชิงการตลาดภาครัฐ: ความเป็นธรรมและการลดความเหลื่อมล้ำต้องมาก่อน — มาตรการราคา/ภาษีต้องมีกลไกอุดหนุนกลุ่มเปราะบาง (กองทุนเพื่อการขนส่ง) และสื่อสารโปร่งใสเพื่อรักษาการยอมรับของประชาชน</w:t>
      </w:r>
    </w:p>
    <w:p>
      <w:pPr>
        <w:spacing w:before="160" w:after="80"/>
      </w:pPr>
      <w:r>
        <w:rPr>
          <w:rFonts w:ascii="TH Sarabun New" w:hAnsi="TH Sarabun New" w:cs="TH Sarabun New"/>
          <w:sz w:val="32"/>
          <w:szCs w:val="32"/>
          <w:b/>
          <w:bCs/>
        </w:rPr>
        <w:t xml:space="preserve">ฎ.3 การวิเคราะห์ผลประโยชน์: เชิงการเงิน (Financial) และที่ตีเป็นเงินยาก (Non-financial)</w:t>
      </w:r>
    </w:p>
    <w:p>
      <w:pPr>
        <w:spacing w:before="0" w:after="80"/>
      </w:pPr>
      <w:r>
        <w:rPr>
          <w:rFonts w:ascii="TH Sarabun New" w:hAnsi="TH Sarabun New" w:cs="TH Sarabun New"/>
          <w:sz w:val="30"/>
          <w:szCs w:val="30"/>
        </w:rPr>
        <w:t xml:space="preserve">BCR = PV(Benefits)/PV(Costs) · อัตราคิดลด 3–6% · ระยะ 10 ปี · หมายเหตุระเบียบวิธี: "รายได้จากมาตรการเศรษฐศาสตร์" เป็นการโอนย้าย (transfer) จึงควรอยู่ในการวิเคราะห์เชิงการเงิน แยกจาก BCR เชิงเศรษฐกิจที่นับเฉพาะสวัสดิการ (เวลา/สุขภาพ/ความปลอดภัย/สิ่งแวดล้อม)</w:t>
      </w:r>
    </w:p>
    <w:tbl>
      <w:tblPr>
        <w:tblStyle w:val="TableGrid"/>
        <w:tblW w:type="auto" w:w="0"/>
        <w:jc w:val="center"/>
        <w:tblLook w:firstColumn="1" w:firstRow="1" w:lastColumn="0" w:lastRow="0" w:noHBand="0" w:noVBand="1" w:val="04A0"/>
      </w:tblPr>
      <w:tblGrid>
        <w:gridCol w:w="2076"/>
        <w:gridCol w:w="2076"/>
        <w:gridCol w:w="2076"/>
        <w:gridCol w:w="2076"/>
      </w:tblGrid>
      <w:tr>
        <w:tc>
          <w:tcPr>
            <w:tcW w:type="dxa" w:w="3024"/>
          </w:tcPr>
          <w:p>
            <w:pPr>
              <w:spacing w:after="20" w:before="20"/>
            </w:pPr>
            <w:r>
              <w:rPr>
                <w:rFonts w:ascii="TH Sarabun New" w:hAnsi="TH Sarabun New" w:cs="TH Sarabun New"/>
                <w:sz w:val="25"/>
                <w:szCs w:val="25"/>
                <w:b/>
                <w:bCs/>
              </w:rPr>
              <w:t xml:space="preserve">ผลประโยชน์</w:t>
            </w:r>
          </w:p>
        </w:tc>
        <w:tc>
          <w:tcPr>
            <w:tcW w:type="dxa" w:w="1008"/>
          </w:tcPr>
          <w:p>
            <w:pPr>
              <w:spacing w:after="20" w:before="20"/>
            </w:pPr>
            <w:r>
              <w:rPr>
                <w:rFonts w:ascii="TH Sarabun New" w:hAnsi="TH Sarabun New" w:cs="TH Sarabun New"/>
                <w:sz w:val="25"/>
                <w:szCs w:val="25"/>
                <w:b/>
                <w:bCs/>
              </w:rPr>
              <w:t xml:space="preserve">ประเภท</w:t>
            </w:r>
          </w:p>
        </w:tc>
        <w:tc>
          <w:tcPr>
            <w:tcW w:type="dxa" w:w="3312"/>
          </w:tcPr>
          <w:p>
            <w:pPr>
              <w:spacing w:after="20" w:before="20"/>
            </w:pPr>
            <w:r>
              <w:rPr>
                <w:rFonts w:ascii="TH Sarabun New" w:hAnsi="TH Sarabun New" w:cs="TH Sarabun New"/>
                <w:sz w:val="25"/>
                <w:szCs w:val="25"/>
                <w:b/>
                <w:bCs/>
              </w:rPr>
              <w:t xml:space="preserve">วิธีตีมูลค่า/ตัวแทนวัด</w:t>
            </w:r>
          </w:p>
        </w:tc>
        <w:tc>
          <w:tcPr>
            <w:tcW w:type="dxa" w:w="1728"/>
          </w:tcPr>
          <w:p>
            <w:pPr>
              <w:spacing w:after="20" w:before="20"/>
            </w:pPr>
            <w:r>
              <w:rPr>
                <w:rFonts w:ascii="TH Sarabun New" w:hAnsi="TH Sarabun New" w:cs="TH Sarabun New"/>
                <w:sz w:val="25"/>
                <w:szCs w:val="25"/>
                <w:b/>
                <w:bCs/>
              </w:rPr>
              <w:t xml:space="preserve">แหล่งอ้างอิง</w:t>
            </w:r>
          </w:p>
        </w:tc>
      </w:tr>
      <w:tr>
        <w:tc>
          <w:tcPr>
            <w:tcW w:type="dxa" w:w="3024"/>
          </w:tcPr>
          <w:p>
            <w:pPr>
              <w:spacing w:after="20" w:before="20"/>
            </w:pPr>
            <w:r>
              <w:rPr>
                <w:rFonts w:ascii="TH Sarabun New" w:hAnsi="TH Sarabun New" w:cs="TH Sarabun New"/>
                <w:sz w:val="24"/>
                <w:szCs w:val="24"/>
              </w:rPr>
              <w:t xml:space="preserve">ประหยัดเวลาเดินทาง</w:t>
            </w:r>
          </w:p>
        </w:tc>
        <w:tc>
          <w:tcPr>
            <w:tcW w:type="dxa" w:w="1008"/>
          </w:tcPr>
          <w:p>
            <w:pPr>
              <w:spacing w:after="20" w:before="20"/>
            </w:pPr>
            <w:r>
              <w:rPr>
                <w:rFonts w:ascii="TH Sarabun New" w:hAnsi="TH Sarabun New" w:cs="TH Sarabun New"/>
                <w:sz w:val="24"/>
                <w:szCs w:val="24"/>
              </w:rPr>
              <w:t xml:space="preserve">F</w:t>
            </w:r>
          </w:p>
        </w:tc>
        <w:tc>
          <w:tcPr>
            <w:tcW w:type="dxa" w:w="3312"/>
          </w:tcPr>
          <w:p>
            <w:pPr>
              <w:spacing w:after="20" w:before="20"/>
            </w:pPr>
            <w:r>
              <w:rPr>
                <w:rFonts w:ascii="TH Sarabun New" w:hAnsi="TH Sarabun New" w:cs="TH Sarabun New"/>
                <w:sz w:val="24"/>
                <w:szCs w:val="24"/>
              </w:rPr>
              <w:t xml:space="preserve">ชม.-คน × มูลค่าเวลา (อิงค่าจ้าง)</w:t>
            </w:r>
          </w:p>
        </w:tc>
        <w:tc>
          <w:tcPr>
            <w:tcW w:type="dxa" w:w="1728"/>
          </w:tcPr>
          <w:p>
            <w:pPr>
              <w:spacing w:after="20" w:before="20"/>
            </w:pPr>
            <w:r>
              <w:rPr>
                <w:rFonts w:ascii="TH Sarabun New" w:hAnsi="TH Sarabun New" w:cs="TH Sarabun New"/>
                <w:sz w:val="24"/>
                <w:szCs w:val="24"/>
              </w:rPr>
              <w:t xml:space="preserve">สนข. (ตรวจสอบ)</w:t>
            </w:r>
          </w:p>
        </w:tc>
      </w:tr>
      <w:tr>
        <w:tc>
          <w:tcPr>
            <w:tcW w:type="dxa" w:w="3024"/>
          </w:tcPr>
          <w:p>
            <w:pPr>
              <w:spacing w:after="20" w:before="20"/>
            </w:pPr>
            <w:r>
              <w:rPr>
                <w:rFonts w:ascii="TH Sarabun New" w:hAnsi="TH Sarabun New" w:cs="TH Sarabun New"/>
                <w:sz w:val="24"/>
                <w:szCs w:val="24"/>
              </w:rPr>
              <w:t xml:space="preserve">ลดเชื้อเพลิง/ค่าใช้รถ</w:t>
            </w:r>
          </w:p>
        </w:tc>
        <w:tc>
          <w:tcPr>
            <w:tcW w:type="dxa" w:w="1008"/>
          </w:tcPr>
          <w:p>
            <w:pPr>
              <w:spacing w:after="20" w:before="20"/>
            </w:pPr>
            <w:r>
              <w:rPr>
                <w:rFonts w:ascii="TH Sarabun New" w:hAnsi="TH Sarabun New" w:cs="TH Sarabun New"/>
                <w:sz w:val="24"/>
                <w:szCs w:val="24"/>
              </w:rPr>
              <w:t xml:space="preserve">F</w:t>
            </w:r>
          </w:p>
        </w:tc>
        <w:tc>
          <w:tcPr>
            <w:tcW w:type="dxa" w:w="3312"/>
          </w:tcPr>
          <w:p>
            <w:pPr>
              <w:spacing w:after="20" w:before="20"/>
            </w:pPr>
            <w:r>
              <w:rPr>
                <w:rFonts w:ascii="TH Sarabun New" w:hAnsi="TH Sarabun New" w:cs="TH Sarabun New"/>
                <w:sz w:val="24"/>
                <w:szCs w:val="24"/>
              </w:rPr>
              <w:t xml:space="preserve">ลิตรที่ลด × ราคา</w:t>
            </w:r>
          </w:p>
        </w:tc>
        <w:tc>
          <w:tcPr>
            <w:tcW w:type="dxa" w:w="1728"/>
          </w:tcPr>
          <w:p>
            <w:pPr>
              <w:spacing w:after="20" w:before="20"/>
            </w:pPr>
            <w:r>
              <w:rPr>
                <w:rFonts w:ascii="TH Sarabun New" w:hAnsi="TH Sarabun New" w:cs="TH Sarabun New"/>
                <w:sz w:val="24"/>
                <w:szCs w:val="24"/>
              </w:rPr>
              <w:t xml:space="preserve">KResearch 2559</w:t>
            </w:r>
          </w:p>
        </w:tc>
      </w:tr>
      <w:tr>
        <w:tc>
          <w:tcPr>
            <w:tcW w:type="dxa" w:w="3024"/>
          </w:tcPr>
          <w:p>
            <w:pPr>
              <w:spacing w:after="20" w:before="20"/>
            </w:pPr>
            <w:r>
              <w:rPr>
                <w:rFonts w:ascii="TH Sarabun New" w:hAnsi="TH Sarabun New" w:cs="TH Sarabun New"/>
                <w:sz w:val="24"/>
                <w:szCs w:val="24"/>
              </w:rPr>
              <w:t xml:space="preserve">ลดอุบัติเหตุ</w:t>
            </w:r>
          </w:p>
        </w:tc>
        <w:tc>
          <w:tcPr>
            <w:tcW w:type="dxa" w:w="1008"/>
          </w:tcPr>
          <w:p>
            <w:pPr>
              <w:spacing w:after="20" w:before="20"/>
            </w:pPr>
            <w:r>
              <w:rPr>
                <w:rFonts w:ascii="TH Sarabun New" w:hAnsi="TH Sarabun New" w:cs="TH Sarabun New"/>
                <w:sz w:val="24"/>
                <w:szCs w:val="24"/>
              </w:rPr>
              <w:t xml:space="preserve">F</w:t>
            </w:r>
          </w:p>
        </w:tc>
        <w:tc>
          <w:tcPr>
            <w:tcW w:type="dxa" w:w="3312"/>
          </w:tcPr>
          <w:p>
            <w:pPr>
              <w:spacing w:after="20" w:before="20"/>
            </w:pPr>
            <w:r>
              <w:rPr>
                <w:rFonts w:ascii="TH Sarabun New" w:hAnsi="TH Sarabun New" w:cs="TH Sarabun New"/>
                <w:sz w:val="24"/>
                <w:szCs w:val="24"/>
              </w:rPr>
              <w:t xml:space="preserve">จำนวนที่ลด × มูลค่า/ราย (Complete Streets −40%)</w:t>
            </w:r>
          </w:p>
        </w:tc>
        <w:tc>
          <w:tcPr>
            <w:tcW w:type="dxa" w:w="1728"/>
          </w:tcPr>
          <w:p>
            <w:pPr>
              <w:spacing w:after="20" w:before="20"/>
            </w:pPr>
            <w:r>
              <w:rPr>
                <w:rFonts w:ascii="TH Sarabun New" w:hAnsi="TH Sarabun New" w:cs="TH Sarabun New"/>
                <w:sz w:val="24"/>
                <w:szCs w:val="24"/>
              </w:rPr>
              <w:t xml:space="preserve">NYC Comptroller</w:t>
            </w:r>
          </w:p>
        </w:tc>
      </w:tr>
      <w:tr>
        <w:tc>
          <w:tcPr>
            <w:tcW w:type="dxa" w:w="3024"/>
          </w:tcPr>
          <w:p>
            <w:pPr>
              <w:spacing w:after="20" w:before="20"/>
            </w:pPr>
            <w:r>
              <w:rPr>
                <w:rFonts w:ascii="TH Sarabun New" w:hAnsi="TH Sarabun New" w:cs="TH Sarabun New"/>
                <w:sz w:val="24"/>
                <w:szCs w:val="24"/>
              </w:rPr>
              <w:t xml:space="preserve">ลด PM2.5/CO₂</w:t>
            </w:r>
          </w:p>
        </w:tc>
        <w:tc>
          <w:tcPr>
            <w:tcW w:type="dxa" w:w="1008"/>
          </w:tcPr>
          <w:p>
            <w:pPr>
              <w:spacing w:after="20" w:before="20"/>
            </w:pPr>
            <w:r>
              <w:rPr>
                <w:rFonts w:ascii="TH Sarabun New" w:hAnsi="TH Sarabun New" w:cs="TH Sarabun New"/>
                <w:sz w:val="24"/>
                <w:szCs w:val="24"/>
              </w:rPr>
              <w:t xml:space="preserve">F</w:t>
            </w:r>
          </w:p>
        </w:tc>
        <w:tc>
          <w:tcPr>
            <w:tcW w:type="dxa" w:w="3312"/>
          </w:tcPr>
          <w:p>
            <w:pPr>
              <w:spacing w:after="20" w:before="20"/>
            </w:pPr>
            <w:r>
              <w:rPr>
                <w:rFonts w:ascii="TH Sarabun New" w:hAnsi="TH Sarabun New" w:cs="TH Sarabun New"/>
                <w:sz w:val="24"/>
                <w:szCs w:val="24"/>
              </w:rPr>
              <w:t xml:space="preserve">ตันที่ลด × ราคาเงา (200 ฿/tCO₂)</w:t>
            </w:r>
          </w:p>
        </w:tc>
        <w:tc>
          <w:tcPr>
            <w:tcW w:type="dxa" w:w="1728"/>
          </w:tcPr>
          <w:p>
            <w:pPr>
              <w:spacing w:after="20" w:before="20"/>
            </w:pPr>
            <w:r>
              <w:rPr>
                <w:rFonts w:ascii="TH Sarabun New" w:hAnsi="TH Sarabun New" w:cs="TH Sarabun New"/>
                <w:sz w:val="24"/>
                <w:szCs w:val="24"/>
              </w:rPr>
              <w:t xml:space="preserve">ภาษีคาร์บอน 2568 · WHO</w:t>
            </w:r>
          </w:p>
        </w:tc>
      </w:tr>
      <w:tr>
        <w:tc>
          <w:tcPr>
            <w:tcW w:type="dxa" w:w="3024"/>
          </w:tcPr>
          <w:p>
            <w:pPr>
              <w:spacing w:after="20" w:before="20"/>
            </w:pPr>
            <w:r>
              <w:rPr>
                <w:rFonts w:ascii="TH Sarabun New" w:hAnsi="TH Sarabun New" w:cs="TH Sarabun New"/>
                <w:sz w:val="24"/>
                <w:szCs w:val="24"/>
              </w:rPr>
              <w:t xml:space="preserve">คุณภาพชีวิต/สุขภาวะ</w:t>
            </w:r>
          </w:p>
        </w:tc>
        <w:tc>
          <w:tcPr>
            <w:tcW w:type="dxa" w:w="1008"/>
          </w:tcPr>
          <w:p>
            <w:pPr>
              <w:spacing w:after="20" w:before="20"/>
            </w:pPr>
            <w:r>
              <w:rPr>
                <w:rFonts w:ascii="TH Sarabun New" w:hAnsi="TH Sarabun New" w:cs="TH Sarabun New"/>
                <w:sz w:val="24"/>
                <w:szCs w:val="24"/>
              </w:rPr>
              <w:t xml:space="preserve">NF</w:t>
            </w:r>
          </w:p>
        </w:tc>
        <w:tc>
          <w:tcPr>
            <w:tcW w:type="dxa" w:w="3312"/>
          </w:tcPr>
          <w:p>
            <w:pPr>
              <w:spacing w:after="20" w:before="20"/>
            </w:pPr>
            <w:r>
              <w:rPr>
                <w:rFonts w:ascii="TH Sarabun New" w:hAnsi="TH Sarabun New" w:cs="TH Sarabun New"/>
                <w:sz w:val="24"/>
                <w:szCs w:val="24"/>
              </w:rPr>
              <w:t xml:space="preserve">proxy: ลดวันป่วย/DALY</w:t>
            </w:r>
          </w:p>
        </w:tc>
        <w:tc>
          <w:tcPr>
            <w:tcW w:type="dxa" w:w="1728"/>
          </w:tcPr>
          <w:p>
            <w:pPr>
              <w:spacing w:after="20" w:before="20"/>
            </w:pPr>
            <w:r>
              <w:rPr>
                <w:rFonts w:ascii="TH Sarabun New" w:hAnsi="TH Sarabun New" w:cs="TH Sarabun New"/>
                <w:sz w:val="24"/>
                <w:szCs w:val="24"/>
              </w:rPr>
              <w:t xml:space="preserve">ISGlobal · WHO</w:t>
            </w:r>
          </w:p>
        </w:tc>
      </w:tr>
      <w:tr>
        <w:tc>
          <w:tcPr>
            <w:tcW w:type="dxa" w:w="3024"/>
          </w:tcPr>
          <w:p>
            <w:pPr>
              <w:spacing w:after="20" w:before="20"/>
            </w:pPr>
            <w:r>
              <w:rPr>
                <w:rFonts w:ascii="TH Sarabun New" w:hAnsi="TH Sarabun New" w:cs="TH Sarabun New"/>
                <w:sz w:val="24"/>
                <w:szCs w:val="24"/>
              </w:rPr>
              <w:t xml:space="preserve">ความเท่าเทียมการเข้าถึง</w:t>
            </w:r>
          </w:p>
        </w:tc>
        <w:tc>
          <w:tcPr>
            <w:tcW w:type="dxa" w:w="1008"/>
          </w:tcPr>
          <w:p>
            <w:pPr>
              <w:spacing w:after="20" w:before="20"/>
            </w:pPr>
            <w:r>
              <w:rPr>
                <w:rFonts w:ascii="TH Sarabun New" w:hAnsi="TH Sarabun New" w:cs="TH Sarabun New"/>
                <w:sz w:val="24"/>
                <w:szCs w:val="24"/>
              </w:rPr>
              <w:t xml:space="preserve">NF</w:t>
            </w:r>
          </w:p>
        </w:tc>
        <w:tc>
          <w:tcPr>
            <w:tcW w:type="dxa" w:w="3312"/>
          </w:tcPr>
          <w:p>
            <w:pPr>
              <w:spacing w:after="20" w:before="20"/>
            </w:pPr>
            <w:r>
              <w:rPr>
                <w:rFonts w:ascii="TH Sarabun New" w:hAnsi="TH Sarabun New" w:cs="TH Sarabun New"/>
                <w:sz w:val="24"/>
                <w:szCs w:val="24"/>
              </w:rPr>
              <w:t xml:space="preserve">qualitative scoring / MCA</w:t>
            </w:r>
          </w:p>
        </w:tc>
        <w:tc>
          <w:tcPr>
            <w:tcW w:type="dxa" w:w="1728"/>
          </w:tcPr>
          <w:p>
            <w:pPr>
              <w:spacing w:after="20" w:before="20"/>
            </w:pPr>
            <w:r>
              <w:rPr>
                <w:rFonts w:ascii="TH Sarabun New" w:hAnsi="TH Sarabun New" w:cs="TH Sarabun New"/>
                <w:sz w:val="24"/>
                <w:szCs w:val="24"/>
              </w:rPr>
              <w:t xml:space="preserve">—</w:t>
            </w:r>
          </w:p>
        </w:tc>
      </w:tr>
      <w:tr>
        <w:tc>
          <w:tcPr>
            <w:tcW w:type="dxa" w:w="3024"/>
          </w:tcPr>
          <w:p>
            <w:pPr>
              <w:spacing w:after="20" w:before="20"/>
            </w:pPr>
            <w:r>
              <w:rPr>
                <w:rFonts w:ascii="TH Sarabun New" w:hAnsi="TH Sarabun New" w:cs="TH Sarabun New"/>
                <w:sz w:val="24"/>
                <w:szCs w:val="24"/>
              </w:rPr>
              <w:t xml:space="preserve">ภาพลักษณ์/ขีดแข่งขันเมือง</w:t>
            </w:r>
          </w:p>
        </w:tc>
        <w:tc>
          <w:tcPr>
            <w:tcW w:type="dxa" w:w="1008"/>
          </w:tcPr>
          <w:p>
            <w:pPr>
              <w:spacing w:after="20" w:before="20"/>
            </w:pPr>
            <w:r>
              <w:rPr>
                <w:rFonts w:ascii="TH Sarabun New" w:hAnsi="TH Sarabun New" w:cs="TH Sarabun New"/>
                <w:sz w:val="24"/>
                <w:szCs w:val="24"/>
              </w:rPr>
              <w:t xml:space="preserve">NF</w:t>
            </w:r>
          </w:p>
        </w:tc>
        <w:tc>
          <w:tcPr>
            <w:tcW w:type="dxa" w:w="3312"/>
          </w:tcPr>
          <w:p>
            <w:pPr>
              <w:spacing w:after="20" w:before="20"/>
            </w:pPr>
            <w:r>
              <w:rPr>
                <w:rFonts w:ascii="TH Sarabun New" w:hAnsi="TH Sarabun New" w:cs="TH Sarabun New"/>
                <w:sz w:val="24"/>
                <w:szCs w:val="24"/>
              </w:rPr>
              <w:t xml:space="preserve">qualitative / MCA</w:t>
            </w:r>
          </w:p>
        </w:tc>
        <w:tc>
          <w:tcPr>
            <w:tcW w:type="dxa" w:w="1728"/>
          </w:tcPr>
          <w:p>
            <w:pPr>
              <w:spacing w:after="20" w:before="20"/>
            </w:pPr>
            <w:r>
              <w:rPr>
                <w:rFonts w:ascii="TH Sarabun New" w:hAnsi="TH Sarabun New" w:cs="TH Sarabun New"/>
                <w:sz w:val="24"/>
                <w:szCs w:val="24"/>
              </w:rPr>
              <w:t xml:space="preserve">—</w:t>
            </w:r>
          </w:p>
        </w:tc>
      </w:tr>
      <w:tr>
        <w:tc>
          <w:tcPr>
            <w:tcW w:type="dxa" w:w="3024"/>
          </w:tcPr>
          <w:p>
            <w:pPr>
              <w:spacing w:after="20" w:before="20"/>
            </w:pPr>
            <w:r>
              <w:rPr>
                <w:rFonts w:ascii="TH Sarabun New" w:hAnsi="TH Sarabun New" w:cs="TH Sarabun New"/>
                <w:sz w:val="24"/>
                <w:szCs w:val="24"/>
              </w:rPr>
              <w:t xml:space="preserve">ความพร้อมรับภูมิอากาศ</w:t>
            </w:r>
          </w:p>
        </w:tc>
        <w:tc>
          <w:tcPr>
            <w:tcW w:type="dxa" w:w="1008"/>
          </w:tcPr>
          <w:p>
            <w:pPr>
              <w:spacing w:after="20" w:before="20"/>
            </w:pPr>
            <w:r>
              <w:rPr>
                <w:rFonts w:ascii="TH Sarabun New" w:hAnsi="TH Sarabun New" w:cs="TH Sarabun New"/>
                <w:sz w:val="24"/>
                <w:szCs w:val="24"/>
              </w:rPr>
              <w:t xml:space="preserve">NF</w:t>
            </w:r>
          </w:p>
        </w:tc>
        <w:tc>
          <w:tcPr>
            <w:tcW w:type="dxa" w:w="3312"/>
          </w:tcPr>
          <w:p>
            <w:pPr>
              <w:spacing w:after="20" w:before="20"/>
            </w:pPr>
            <w:r>
              <w:rPr>
                <w:rFonts w:ascii="TH Sarabun New" w:hAnsi="TH Sarabun New" w:cs="TH Sarabun New"/>
                <w:sz w:val="24"/>
                <w:szCs w:val="24"/>
              </w:rPr>
              <w:t xml:space="preserve">จำนวนวันใช้งานได้/ปี</w:t>
            </w:r>
          </w:p>
        </w:tc>
        <w:tc>
          <w:tcPr>
            <w:tcW w:type="dxa" w:w="1728"/>
          </w:tcPr>
          <w:p>
            <w:pPr>
              <w:spacing w:after="20" w:before="20"/>
            </w:pPr>
            <w:r>
              <w:rPr>
                <w:rFonts w:ascii="TH Sarabun New" w:hAnsi="TH Sarabun New" w:cs="TH Sarabun New"/>
                <w:sz w:val="24"/>
                <w:szCs w:val="24"/>
              </w:rPr>
              <w:t xml:space="preserve">(สมมุติฐานคณะ)</w:t>
            </w:r>
          </w:p>
        </w:tc>
      </w:tr>
      <w:tr>
        <w:tc>
          <w:tcPr>
            <w:tcW w:type="dxa" w:w="3024"/>
          </w:tcPr>
          <w:p>
            <w:pPr>
              <w:spacing w:after="20" w:before="20"/>
            </w:pPr>
            <w:r>
              <w:rPr>
                <w:rFonts w:ascii="TH Sarabun New" w:hAnsi="TH Sarabun New" w:cs="TH Sarabun New"/>
                <w:sz w:val="24"/>
                <w:szCs w:val="24"/>
              </w:rPr>
              <w:t xml:space="preserve">บรรลุ SDG 11/13 · ธรรมาภิบาลข้อมูล · พัฒนาคน</w:t>
            </w:r>
          </w:p>
        </w:tc>
        <w:tc>
          <w:tcPr>
            <w:tcW w:type="dxa" w:w="1008"/>
          </w:tcPr>
          <w:p>
            <w:pPr>
              <w:spacing w:after="20" w:before="20"/>
            </w:pPr>
            <w:r>
              <w:rPr>
                <w:rFonts w:ascii="TH Sarabun New" w:hAnsi="TH Sarabun New" w:cs="TH Sarabun New"/>
                <w:sz w:val="24"/>
                <w:szCs w:val="24"/>
              </w:rPr>
              <w:t xml:space="preserve">NF</w:t>
            </w:r>
          </w:p>
        </w:tc>
        <w:tc>
          <w:tcPr>
            <w:tcW w:type="dxa" w:w="3312"/>
          </w:tcPr>
          <w:p>
            <w:pPr>
              <w:spacing w:after="20" w:before="20"/>
            </w:pPr>
            <w:r>
              <w:rPr>
                <w:rFonts w:ascii="TH Sarabun New" w:hAnsi="TH Sarabun New" w:cs="TH Sarabun New"/>
                <w:sz w:val="24"/>
                <w:szCs w:val="24"/>
              </w:rPr>
              <w:t xml:space="preserve">qualitative scoring</w:t>
            </w:r>
          </w:p>
        </w:tc>
        <w:tc>
          <w:tcPr>
            <w:tcW w:type="dxa" w:w="1728"/>
          </w:tcPr>
          <w:p>
            <w:pPr>
              <w:spacing w:after="20" w:before="20"/>
            </w:pPr>
            <w:r>
              <w:rPr>
                <w:rFonts w:ascii="TH Sarabun New" w:hAnsi="TH Sarabun New" w:cs="TH Sarabun New"/>
                <w:sz w:val="24"/>
                <w:szCs w:val="24"/>
              </w:rPr>
              <w:t xml:space="preserve">UN SDGs</w:t>
            </w:r>
          </w:p>
        </w:tc>
      </w:tr>
    </w:tbl>
    <w:p>
      <w:pPr>
        <w:spacing w:before="0" w:after="80"/>
      </w:pPr>
      <w:r>
        <w:rPr>
          <w:rFonts w:ascii="TH Sarabun New" w:hAnsi="TH Sarabun New" w:cs="TH Sarabun New"/>
          <w:sz w:val="30"/>
          <w:szCs w:val="30"/>
        </w:rPr>
        <w:t xml:space="preserve">การวิเคราะห์ความอ่อนไหว (Sensitivity): ตัวแปรที่ไวที่สุด 3 ตัว = อัตราเปลี่ยนพฤติกรรม (modal shift) · อัตรารับมาตรการ (take-up) · อัตราคิดลด · แม้กรณีเลวร้ายที่สุด BCR ยังควรมากกว่า 1 · แนวคิดการเงิน: Self-financing · Ring-fencing · Blended Finance</w:t>
      </w:r>
    </w:p>
    <w:p>
      <w:pPr>
        <w:spacing w:before="160" w:after="80"/>
      </w:pPr>
      <w:r>
        <w:rPr>
          <w:rFonts w:ascii="TH Sarabun New" w:hAnsi="TH Sarabun New" w:cs="TH Sarabun New"/>
          <w:sz w:val="32"/>
          <w:szCs w:val="32"/>
          <w:b/>
          <w:bCs/>
        </w:rPr>
        <w:t xml:space="preserve">ฎ.4 ทะเบียนสมมุติฐานหลักและที่มาของตัวเลข (Key Assumptions Register)</w:t>
      </w:r>
    </w:p>
    <w:tbl>
      <w:tblPr>
        <w:tblStyle w:val="TableGrid"/>
        <w:tblW w:type="auto" w:w="0"/>
        <w:jc w:val="center"/>
        <w:tblLook w:firstColumn="1" w:firstRow="1" w:lastColumn="0" w:lastRow="0" w:noHBand="0" w:noVBand="1" w:val="04A0"/>
      </w:tblPr>
      <w:tblGrid>
        <w:gridCol w:w="1661"/>
        <w:gridCol w:w="1661"/>
        <w:gridCol w:w="1661"/>
        <w:gridCol w:w="1661"/>
        <w:gridCol w:w="1661"/>
      </w:tblGrid>
      <w:tr>
        <w:tc>
          <w:tcPr>
            <w:tcW w:type="dxa" w:w="2304"/>
          </w:tcPr>
          <w:p>
            <w:pPr>
              <w:spacing w:after="20" w:before="20"/>
            </w:pPr>
            <w:r>
              <w:rPr>
                <w:rFonts w:ascii="TH Sarabun New" w:hAnsi="TH Sarabun New" w:cs="TH Sarabun New"/>
                <w:sz w:val="23"/>
                <w:szCs w:val="23"/>
                <w:b/>
                <w:bCs/>
              </w:rPr>
              <w:t xml:space="preserve">ตัวเลข/ข้ออ้าง</w:t>
            </w:r>
          </w:p>
        </w:tc>
        <w:tc>
          <w:tcPr>
            <w:tcW w:type="dxa" w:w="1728"/>
          </w:tcPr>
          <w:p>
            <w:pPr>
              <w:spacing w:after="20" w:before="20"/>
            </w:pPr>
            <w:r>
              <w:rPr>
                <w:rFonts w:ascii="TH Sarabun New" w:hAnsi="TH Sarabun New" w:cs="TH Sarabun New"/>
                <w:sz w:val="23"/>
                <w:szCs w:val="23"/>
                <w:b/>
                <w:bCs/>
              </w:rPr>
              <w:t xml:space="preserve">ค่า (Cons./Base/Aggr.)</w:t>
            </w:r>
          </w:p>
        </w:tc>
        <w:tc>
          <w:tcPr>
            <w:tcW w:type="dxa" w:w="2448"/>
          </w:tcPr>
          <w:p>
            <w:pPr>
              <w:spacing w:after="20" w:before="20"/>
            </w:pPr>
            <w:r>
              <w:rPr>
                <w:rFonts w:ascii="TH Sarabun New" w:hAnsi="TH Sarabun New" w:cs="TH Sarabun New"/>
                <w:sz w:val="23"/>
                <w:szCs w:val="23"/>
                <w:b/>
                <w:bCs/>
              </w:rPr>
              <w:t xml:space="preserve">ที่มา/วิธีคำนวณ</w:t>
            </w:r>
          </w:p>
        </w:tc>
        <w:tc>
          <w:tcPr>
            <w:tcW w:type="dxa" w:w="1440"/>
          </w:tcPr>
          <w:p>
            <w:pPr>
              <w:spacing w:after="20" w:before="20"/>
            </w:pPr>
            <w:r>
              <w:rPr>
                <w:rFonts w:ascii="TH Sarabun New" w:hAnsi="TH Sarabun New" w:cs="TH Sarabun New"/>
                <w:sz w:val="23"/>
                <w:szCs w:val="23"/>
                <w:b/>
                <w:bCs/>
              </w:rPr>
              <w:t xml:space="preserve">แหล่ง (ปี)</w:t>
            </w:r>
          </w:p>
        </w:tc>
        <w:tc>
          <w:tcPr>
            <w:tcW w:type="dxa" w:w="1584"/>
          </w:tcPr>
          <w:p>
            <w:pPr>
              <w:spacing w:after="20" w:before="20"/>
            </w:pPr>
            <w:r>
              <w:rPr>
                <w:rFonts w:ascii="TH Sarabun New" w:hAnsi="TH Sarabun New" w:cs="TH Sarabun New"/>
                <w:sz w:val="23"/>
                <w:szCs w:val="23"/>
                <w:b/>
                <w:bCs/>
              </w:rPr>
              <w:t xml:space="preserve">ความเชื่อมั่น · ต้องตรวจเพิ่ม</w:t>
            </w:r>
          </w:p>
        </w:tc>
      </w:tr>
      <w:tr>
        <w:tc>
          <w:tcPr>
            <w:tcW w:type="dxa" w:w="2304"/>
          </w:tcPr>
          <w:p>
            <w:pPr>
              <w:spacing w:after="20" w:before="20"/>
            </w:pPr>
            <w:r>
              <w:rPr>
                <w:rFonts w:ascii="TH Sarabun New" w:hAnsi="TH Sarabun New" w:cs="TH Sarabun New"/>
                <w:sz w:val="22"/>
                <w:szCs w:val="22"/>
              </w:rPr>
              <w:t xml:space="preserve">ความสูญเสียเศรษฐกิจจราจร</w:t>
            </w:r>
          </w:p>
        </w:tc>
        <w:tc>
          <w:tcPr>
            <w:tcW w:type="dxa" w:w="1728"/>
          </w:tcPr>
          <w:p>
            <w:pPr>
              <w:spacing w:after="20" w:before="20"/>
            </w:pPr>
            <w:r>
              <w:rPr>
                <w:rFonts w:ascii="TH Sarabun New" w:hAnsi="TH Sarabun New" w:cs="TH Sarabun New"/>
                <w:sz w:val="22"/>
                <w:szCs w:val="22"/>
              </w:rPr>
              <w:t xml:space="preserve">250k / 300–350k / 800k ลบ./ปี</w:t>
            </w:r>
          </w:p>
        </w:tc>
        <w:tc>
          <w:tcPr>
            <w:tcW w:type="dxa" w:w="2448"/>
          </w:tcPr>
          <w:p>
            <w:pPr>
              <w:spacing w:after="20" w:before="20"/>
            </w:pPr>
            <w:r>
              <w:rPr>
                <w:rFonts w:ascii="TH Sarabun New" w:hAnsi="TH Sarabun New" w:cs="TH Sarabun New"/>
                <w:sz w:val="22"/>
                <w:szCs w:val="22"/>
              </w:rPr>
              <w:t xml:space="preserve">ต้นทุนสังคมรวม $15–22.9bn ≈525–800k ลบ.; แออัด ~$9.7bn</w:t>
            </w:r>
          </w:p>
        </w:tc>
        <w:tc>
          <w:tcPr>
            <w:tcW w:type="dxa" w:w="1440"/>
          </w:tcPr>
          <w:p>
            <w:pPr>
              <w:spacing w:after="20" w:before="20"/>
            </w:pPr>
            <w:r>
              <w:rPr>
                <w:rFonts w:ascii="TH Sarabun New" w:hAnsi="TH Sarabun New" w:cs="TH Sarabun New"/>
                <w:sz w:val="22"/>
                <w:szCs w:val="22"/>
              </w:rPr>
              <w:t xml:space="preserve">KResearch 2559; econ.unc 2566</w:t>
            </w:r>
          </w:p>
        </w:tc>
        <w:tc>
          <w:tcPr>
            <w:tcW w:type="dxa" w:w="1584"/>
          </w:tcPr>
          <w:p>
            <w:pPr>
              <w:spacing w:after="20" w:before="20"/>
            </w:pPr>
            <w:r>
              <w:rPr>
                <w:rFonts w:ascii="TH Sarabun New" w:hAnsi="TH Sarabun New" w:cs="TH Sarabun New"/>
                <w:sz w:val="22"/>
                <w:szCs w:val="22"/>
              </w:rPr>
              <w:t xml:space="preserve">กลาง · survey พื้นที่</w:t>
            </w:r>
          </w:p>
        </w:tc>
      </w:tr>
      <w:tr>
        <w:tc>
          <w:tcPr>
            <w:tcW w:type="dxa" w:w="2304"/>
          </w:tcPr>
          <w:p>
            <w:pPr>
              <w:spacing w:after="20" w:before="20"/>
            </w:pPr>
            <w:r>
              <w:rPr>
                <w:rFonts w:ascii="TH Sarabun New" w:hAnsi="TH Sarabun New" w:cs="TH Sarabun New"/>
                <w:sz w:val="22"/>
                <w:szCs w:val="22"/>
              </w:rPr>
              <w:t xml:space="preserve">งบรวม 10 ปี</w:t>
            </w:r>
          </w:p>
        </w:tc>
        <w:tc>
          <w:tcPr>
            <w:tcW w:type="dxa" w:w="1728"/>
          </w:tcPr>
          <w:p>
            <w:pPr>
              <w:spacing w:after="20" w:before="20"/>
            </w:pPr>
            <w:r>
              <w:rPr>
                <w:rFonts w:ascii="TH Sarabun New" w:hAnsi="TH Sarabun New" w:cs="TH Sarabun New"/>
                <w:sz w:val="22"/>
                <w:szCs w:val="22"/>
              </w:rPr>
              <w:t xml:space="preserve">5,000 / 12,000 / 25,000 ลบ.</w:t>
            </w:r>
          </w:p>
        </w:tc>
        <w:tc>
          <w:tcPr>
            <w:tcW w:type="dxa" w:w="2448"/>
          </w:tcPr>
          <w:p>
            <w:pPr>
              <w:spacing w:after="20" w:before="20"/>
            </w:pPr>
            <w:r>
              <w:rPr>
                <w:rFonts w:ascii="TH Sarabun New" w:hAnsi="TH Sarabun New" w:cs="TH Sarabun New"/>
                <w:sz w:val="22"/>
                <w:szCs w:val="22"/>
              </w:rPr>
              <w:t xml:space="preserve">bottom-up รายเสา (เสา3 ใหญ่สุด)</w:t>
            </w:r>
          </w:p>
        </w:tc>
        <w:tc>
          <w:tcPr>
            <w:tcW w:type="dxa" w:w="1440"/>
          </w:tcPr>
          <w:p>
            <w:pPr>
              <w:spacing w:after="20" w:before="20"/>
            </w:pPr>
            <w:r>
              <w:rPr>
                <w:rFonts w:ascii="TH Sarabun New" w:hAnsi="TH Sarabun New" w:cs="TH Sarabun New"/>
                <w:sz w:val="22"/>
                <w:szCs w:val="22"/>
              </w:rPr>
              <w:t xml:space="preserve">คณะผู้จัดทำ</w:t>
            </w:r>
          </w:p>
        </w:tc>
        <w:tc>
          <w:tcPr>
            <w:tcW w:type="dxa" w:w="1584"/>
          </w:tcPr>
          <w:p>
            <w:pPr>
              <w:spacing w:after="20" w:before="20"/>
            </w:pPr>
            <w:r>
              <w:rPr>
                <w:rFonts w:ascii="TH Sarabun New" w:hAnsi="TH Sarabun New" w:cs="TH Sarabun New"/>
                <w:sz w:val="22"/>
                <w:szCs w:val="22"/>
              </w:rPr>
              <w:t xml:space="preserve">กลาง · ราคากลางจริง</w:t>
            </w:r>
          </w:p>
        </w:tc>
      </w:tr>
      <w:tr>
        <w:tc>
          <w:tcPr>
            <w:tcW w:type="dxa" w:w="2304"/>
          </w:tcPr>
          <w:p>
            <w:pPr>
              <w:spacing w:after="20" w:before="20"/>
            </w:pPr>
            <w:r>
              <w:rPr>
                <w:rFonts w:ascii="TH Sarabun New" w:hAnsi="TH Sarabun New" w:cs="TH Sarabun New"/>
                <w:sz w:val="22"/>
                <w:szCs w:val="22"/>
              </w:rPr>
              <w:t xml:space="preserve">รายได้ ERP</w:t>
            </w:r>
          </w:p>
        </w:tc>
        <w:tc>
          <w:tcPr>
            <w:tcW w:type="dxa" w:w="1728"/>
          </w:tcPr>
          <w:p>
            <w:pPr>
              <w:spacing w:after="20" w:before="20"/>
            </w:pPr>
            <w:r>
              <w:rPr>
                <w:rFonts w:ascii="TH Sarabun New" w:hAnsi="TH Sarabun New" w:cs="TH Sarabun New"/>
                <w:sz w:val="22"/>
                <w:szCs w:val="22"/>
              </w:rPr>
              <w:t xml:space="preserve">10,000–15,000 ลบ./ปี</w:t>
            </w:r>
          </w:p>
        </w:tc>
        <w:tc>
          <w:tcPr>
            <w:tcW w:type="dxa" w:w="2448"/>
          </w:tcPr>
          <w:p>
            <w:pPr>
              <w:spacing w:after="20" w:before="20"/>
            </w:pPr>
            <w:r>
              <w:rPr>
                <w:rFonts w:ascii="TH Sarabun New" w:hAnsi="TH Sarabun New" w:cs="TH Sarabun New"/>
                <w:sz w:val="22"/>
                <w:szCs w:val="22"/>
              </w:rPr>
              <w:t xml:space="preserve">เที่ยวเข้าเขต × ค่าธรรมเนียม × วันทำการ</w:t>
            </w:r>
          </w:p>
        </w:tc>
        <w:tc>
          <w:tcPr>
            <w:tcW w:type="dxa" w:w="1440"/>
          </w:tcPr>
          <w:p>
            <w:pPr>
              <w:spacing w:after="20" w:before="20"/>
            </w:pPr>
            <w:r>
              <w:rPr>
                <w:rFonts w:ascii="TH Sarabun New" w:hAnsi="TH Sarabun New" w:cs="TH Sarabun New"/>
                <w:sz w:val="22"/>
                <w:szCs w:val="22"/>
              </w:rPr>
              <w:t xml:space="preserve">เทียบ LTA Singapore</w:t>
            </w:r>
          </w:p>
        </w:tc>
        <w:tc>
          <w:tcPr>
            <w:tcW w:type="dxa" w:w="1584"/>
          </w:tcPr>
          <w:p>
            <w:pPr>
              <w:spacing w:after="20" w:before="20"/>
            </w:pPr>
            <w:r>
              <w:rPr>
                <w:rFonts w:ascii="TH Sarabun New" w:hAnsi="TH Sarabun New" w:cs="TH Sarabun New"/>
                <w:sz w:val="22"/>
                <w:szCs w:val="22"/>
              </w:rPr>
              <w:t xml:space="preserve">ต่ำ-กลาง · แบบจำลองจราจร</w:t>
            </w:r>
          </w:p>
        </w:tc>
      </w:tr>
      <w:tr>
        <w:tc>
          <w:tcPr>
            <w:tcW w:type="dxa" w:w="2304"/>
          </w:tcPr>
          <w:p>
            <w:pPr>
              <w:spacing w:after="20" w:before="20"/>
            </w:pPr>
            <w:r>
              <w:rPr>
                <w:rFonts w:ascii="TH Sarabun New" w:hAnsi="TH Sarabun New" w:cs="TH Sarabun New"/>
                <w:sz w:val="22"/>
                <w:szCs w:val="22"/>
              </w:rPr>
              <w:t xml:space="preserve">รายได้ Versement Mobilité</w:t>
            </w:r>
          </w:p>
        </w:tc>
        <w:tc>
          <w:tcPr>
            <w:tcW w:type="dxa" w:w="1728"/>
          </w:tcPr>
          <w:p>
            <w:pPr>
              <w:spacing w:after="20" w:before="20"/>
            </w:pPr>
            <w:r>
              <w:rPr>
                <w:rFonts w:ascii="TH Sarabun New" w:hAnsi="TH Sarabun New" w:cs="TH Sarabun New"/>
                <w:sz w:val="22"/>
                <w:szCs w:val="22"/>
              </w:rPr>
              <w:t xml:space="preserve">6,000–10,000 ลบ./ปี</w:t>
            </w:r>
          </w:p>
        </w:tc>
        <w:tc>
          <w:tcPr>
            <w:tcW w:type="dxa" w:w="2448"/>
          </w:tcPr>
          <w:p>
            <w:pPr>
              <w:spacing w:after="20" w:before="20"/>
            </w:pPr>
            <w:r>
              <w:rPr>
                <w:rFonts w:ascii="TH Sarabun New" w:hAnsi="TH Sarabun New" w:cs="TH Sarabun New"/>
                <w:sz w:val="22"/>
                <w:szCs w:val="22"/>
              </w:rPr>
              <w:t xml:space="preserve">บัญชีเงินเดือน × 0.55–1.75%</w:t>
            </w:r>
          </w:p>
        </w:tc>
        <w:tc>
          <w:tcPr>
            <w:tcW w:type="dxa" w:w="1440"/>
          </w:tcPr>
          <w:p>
            <w:pPr>
              <w:spacing w:after="20" w:before="20"/>
            </w:pPr>
            <w:r>
              <w:rPr>
                <w:rFonts w:ascii="TH Sarabun New" w:hAnsi="TH Sarabun New" w:cs="TH Sarabun New"/>
                <w:sz w:val="22"/>
                <w:szCs w:val="22"/>
              </w:rPr>
              <w:t xml:space="preserve">Urssaf (FR)</w:t>
            </w:r>
          </w:p>
        </w:tc>
        <w:tc>
          <w:tcPr>
            <w:tcW w:type="dxa" w:w="1584"/>
          </w:tcPr>
          <w:p>
            <w:pPr>
              <w:spacing w:after="20" w:before="20"/>
            </w:pPr>
            <w:r>
              <w:rPr>
                <w:rFonts w:ascii="TH Sarabun New" w:hAnsi="TH Sarabun New" w:cs="TH Sarabun New"/>
                <w:sz w:val="22"/>
                <w:szCs w:val="22"/>
              </w:rPr>
              <w:t xml:space="preserve">ต่ำ-กลาง · ขอบเขตพื้นที่</w:t>
            </w:r>
          </w:p>
        </w:tc>
      </w:tr>
      <w:tr>
        <w:tc>
          <w:tcPr>
            <w:tcW w:type="dxa" w:w="2304"/>
          </w:tcPr>
          <w:p>
            <w:pPr>
              <w:spacing w:after="20" w:before="20"/>
            </w:pPr>
            <w:r>
              <w:rPr>
                <w:rFonts w:ascii="TH Sarabun New" w:hAnsi="TH Sarabun New" w:cs="TH Sarabun New"/>
                <w:sz w:val="22"/>
                <w:szCs w:val="22"/>
              </w:rPr>
              <w:t xml:space="preserve">BCR</w:t>
            </w:r>
          </w:p>
        </w:tc>
        <w:tc>
          <w:tcPr>
            <w:tcW w:type="dxa" w:w="1728"/>
          </w:tcPr>
          <w:p>
            <w:pPr>
              <w:spacing w:after="20" w:before="20"/>
            </w:pPr>
            <w:r>
              <w:rPr>
                <w:rFonts w:ascii="TH Sarabun New" w:hAnsi="TH Sarabun New" w:cs="TH Sarabun New"/>
                <w:sz w:val="22"/>
                <w:szCs w:val="22"/>
              </w:rPr>
              <w:t xml:space="preserve">8–12 เท่า</w:t>
            </w:r>
          </w:p>
        </w:tc>
        <w:tc>
          <w:tcPr>
            <w:tcW w:type="dxa" w:w="2448"/>
          </w:tcPr>
          <w:p>
            <w:pPr>
              <w:spacing w:after="20" w:before="20"/>
            </w:pPr>
            <w:r>
              <w:rPr>
                <w:rFonts w:ascii="TH Sarabun New" w:hAnsi="TH Sarabun New" w:cs="TH Sarabun New"/>
                <w:sz w:val="22"/>
                <w:szCs w:val="22"/>
              </w:rPr>
              <w:t xml:space="preserve">PV(benefit)/PV(cost) 10 ปี (แยก econ/financial)</w:t>
            </w:r>
          </w:p>
        </w:tc>
        <w:tc>
          <w:tcPr>
            <w:tcW w:type="dxa" w:w="1440"/>
          </w:tcPr>
          <w:p>
            <w:pPr>
              <w:spacing w:after="20" w:before="20"/>
            </w:pPr>
            <w:r>
              <w:rPr>
                <w:rFonts w:ascii="TH Sarabun New" w:hAnsi="TH Sarabun New" w:cs="TH Sarabun New"/>
                <w:sz w:val="22"/>
                <w:szCs w:val="22"/>
              </w:rPr>
              <w:t xml:space="preserve">คณะผู้จัดทำ</w:t>
            </w:r>
          </w:p>
        </w:tc>
        <w:tc>
          <w:tcPr>
            <w:tcW w:type="dxa" w:w="1584"/>
          </w:tcPr>
          <w:p>
            <w:pPr>
              <w:spacing w:after="20" w:before="20"/>
            </w:pPr>
            <w:r>
              <w:rPr>
                <w:rFonts w:ascii="TH Sarabun New" w:hAnsi="TH Sarabun New" w:cs="TH Sarabun New"/>
                <w:sz w:val="22"/>
                <w:szCs w:val="22"/>
              </w:rPr>
              <w:t xml:space="preserve">ต่ำ-กลาง · CBA เต็มรูป</w:t>
            </w:r>
          </w:p>
        </w:tc>
      </w:tr>
      <w:tr>
        <w:tc>
          <w:tcPr>
            <w:tcW w:type="dxa" w:w="2304"/>
          </w:tcPr>
          <w:p>
            <w:pPr>
              <w:spacing w:after="20" w:before="20"/>
            </w:pPr>
            <w:r>
              <w:rPr>
                <w:rFonts w:ascii="TH Sarabun New" w:hAnsi="TH Sarabun New" w:cs="TH Sarabun New"/>
                <w:sz w:val="22"/>
                <w:szCs w:val="22"/>
              </w:rPr>
              <w:t xml:space="preserve">Modal share 10–15% → 20%</w:t>
            </w:r>
          </w:p>
        </w:tc>
        <w:tc>
          <w:tcPr>
            <w:tcW w:type="dxa" w:w="1728"/>
          </w:tcPr>
          <w:p>
            <w:pPr>
              <w:spacing w:after="20" w:before="20"/>
            </w:pPr>
            <w:r>
              <w:rPr>
                <w:rFonts w:ascii="TH Sarabun New" w:hAnsi="TH Sarabun New" w:cs="TH Sarabun New"/>
                <w:sz w:val="22"/>
                <w:szCs w:val="22"/>
              </w:rPr>
              <w:t xml:space="preserve">+5–10 จุด</w:t>
            </w:r>
          </w:p>
        </w:tc>
        <w:tc>
          <w:tcPr>
            <w:tcW w:type="dxa" w:w="2448"/>
          </w:tcPr>
          <w:p>
            <w:pPr>
              <w:spacing w:after="20" w:before="20"/>
            </w:pPr>
            <w:r>
              <w:rPr>
                <w:rFonts w:ascii="TH Sarabun New" w:hAnsi="TH Sarabun New" w:cs="TH Sarabun New"/>
                <w:sz w:val="22"/>
                <w:szCs w:val="22"/>
              </w:rPr>
              <w:t xml:space="preserve">latent/induced demand + เปลี่ยนพฤติกรรม</w:t>
            </w:r>
          </w:p>
        </w:tc>
        <w:tc>
          <w:tcPr>
            <w:tcW w:type="dxa" w:w="1440"/>
          </w:tcPr>
          <w:p>
            <w:pPr>
              <w:spacing w:after="20" w:before="20"/>
            </w:pPr>
            <w:r>
              <w:rPr>
                <w:rFonts w:ascii="TH Sarabun New" w:hAnsi="TH Sarabun New" w:cs="TH Sarabun New"/>
                <w:sz w:val="22"/>
                <w:szCs w:val="22"/>
              </w:rPr>
              <w:t xml:space="preserve">benchmark</w:t>
            </w:r>
          </w:p>
        </w:tc>
        <w:tc>
          <w:tcPr>
            <w:tcW w:type="dxa" w:w="1584"/>
          </w:tcPr>
          <w:p>
            <w:pPr>
              <w:spacing w:after="20" w:before="20"/>
            </w:pPr>
            <w:r>
              <w:rPr>
                <w:rFonts w:ascii="TH Sarabun New" w:hAnsi="TH Sarabun New" w:cs="TH Sarabun New"/>
                <w:sz w:val="22"/>
                <w:szCs w:val="22"/>
              </w:rPr>
              <w:t xml:space="preserve">กลาง · สำรวจ modal split</w:t>
            </w:r>
          </w:p>
        </w:tc>
      </w:tr>
      <w:tr>
        <w:tc>
          <w:tcPr>
            <w:tcW w:type="dxa" w:w="2304"/>
          </w:tcPr>
          <w:p>
            <w:pPr>
              <w:spacing w:after="20" w:before="20"/>
            </w:pPr>
            <w:r>
              <w:rPr>
                <w:rFonts w:ascii="TH Sarabun New" w:hAnsi="TH Sarabun New" w:cs="TH Sarabun New"/>
                <w:sz w:val="22"/>
                <w:szCs w:val="22"/>
              </w:rPr>
              <w:t xml:space="preserve">ตั๋วร่วม EMV/ABT ≥80%</w:t>
            </w:r>
          </w:p>
        </w:tc>
        <w:tc>
          <w:tcPr>
            <w:tcW w:type="dxa" w:w="1728"/>
          </w:tcPr>
          <w:p>
            <w:pPr>
              <w:spacing w:after="20" w:before="20"/>
            </w:pPr>
            <w:r>
              <w:rPr>
                <w:rFonts w:ascii="TH Sarabun New" w:hAnsi="TH Sarabun New" w:cs="TH Sarabun New"/>
                <w:sz w:val="22"/>
                <w:szCs w:val="22"/>
              </w:rPr>
              <w:t xml:space="preserve">ตามเป้า</w:t>
            </w:r>
          </w:p>
        </w:tc>
        <w:tc>
          <w:tcPr>
            <w:tcW w:type="dxa" w:w="2448"/>
          </w:tcPr>
          <w:p>
            <w:pPr>
              <w:spacing w:after="20" w:before="20"/>
            </w:pPr>
            <w:r>
              <w:rPr>
                <w:rFonts w:ascii="TH Sarabun New" w:hAnsi="TH Sarabun New" w:cs="TH Sarabun New"/>
                <w:sz w:val="22"/>
                <w:szCs w:val="22"/>
              </w:rPr>
              <w:t xml:space="preserve">เทียบ TfL (≈80% ใน ~9 ปี)</w:t>
            </w:r>
          </w:p>
        </w:tc>
        <w:tc>
          <w:tcPr>
            <w:tcW w:type="dxa" w:w="1440"/>
          </w:tcPr>
          <w:p>
            <w:pPr>
              <w:spacing w:after="20" w:before="20"/>
            </w:pPr>
            <w:r>
              <w:rPr>
                <w:rFonts w:ascii="TH Sarabun New" w:hAnsi="TH Sarabun New" w:cs="TH Sarabun New"/>
                <w:sz w:val="22"/>
                <w:szCs w:val="22"/>
              </w:rPr>
              <w:t xml:space="preserve">TfL 2567</w:t>
            </w:r>
          </w:p>
        </w:tc>
        <w:tc>
          <w:tcPr>
            <w:tcW w:type="dxa" w:w="1584"/>
          </w:tcPr>
          <w:p>
            <w:pPr>
              <w:spacing w:after="20" w:before="20"/>
            </w:pPr>
            <w:r>
              <w:rPr>
                <w:rFonts w:ascii="TH Sarabun New" w:hAnsi="TH Sarabun New" w:cs="TH Sarabun New"/>
                <w:sz w:val="22"/>
                <w:szCs w:val="22"/>
              </w:rPr>
              <w:t xml:space="preserve">สูง</w:t>
            </w:r>
          </w:p>
        </w:tc>
      </w:tr>
      <w:tr>
        <w:tc>
          <w:tcPr>
            <w:tcW w:type="dxa" w:w="2304"/>
          </w:tcPr>
          <w:p>
            <w:pPr>
              <w:spacing w:after="20" w:before="20"/>
            </w:pPr>
            <w:r>
              <w:rPr>
                <w:rFonts w:ascii="TH Sarabun New" w:hAnsi="TH Sarabun New" w:cs="TH Sarabun New"/>
                <w:sz w:val="22"/>
                <w:szCs w:val="22"/>
              </w:rPr>
              <w:t xml:space="preserve">ลดต้นทุนรับชำระ</w:t>
            </w:r>
          </w:p>
        </w:tc>
        <w:tc>
          <w:tcPr>
            <w:tcW w:type="dxa" w:w="1728"/>
          </w:tcPr>
          <w:p>
            <w:pPr>
              <w:spacing w:after="20" w:before="20"/>
            </w:pPr>
            <w:r>
              <w:rPr>
                <w:rFonts w:ascii="TH Sarabun New" w:hAnsi="TH Sarabun New" w:cs="TH Sarabun New"/>
                <w:sz w:val="22"/>
                <w:szCs w:val="22"/>
              </w:rPr>
              <w:t xml:space="preserve">15%→9% ของรายได้</w:t>
            </w:r>
          </w:p>
        </w:tc>
        <w:tc>
          <w:tcPr>
            <w:tcW w:type="dxa" w:w="2448"/>
          </w:tcPr>
          <w:p>
            <w:pPr>
              <w:spacing w:after="20" w:before="20"/>
            </w:pPr>
            <w:r>
              <w:rPr>
                <w:rFonts w:ascii="TH Sarabun New" w:hAnsi="TH Sarabun New" w:cs="TH Sarabun New"/>
                <w:sz w:val="22"/>
                <w:szCs w:val="22"/>
              </w:rPr>
              <w:t xml:space="preserve">ปรับจาก “~70%” ที่สูงเกิน</w:t>
            </w:r>
          </w:p>
        </w:tc>
        <w:tc>
          <w:tcPr>
            <w:tcW w:type="dxa" w:w="1440"/>
          </w:tcPr>
          <w:p>
            <w:pPr>
              <w:spacing w:after="20" w:before="20"/>
            </w:pPr>
            <w:r>
              <w:rPr>
                <w:rFonts w:ascii="TH Sarabun New" w:hAnsi="TH Sarabun New" w:cs="TH Sarabun New"/>
                <w:sz w:val="22"/>
                <w:szCs w:val="22"/>
              </w:rPr>
              <w:t xml:space="preserve">TfL; US DOT 2564</w:t>
            </w:r>
          </w:p>
        </w:tc>
        <w:tc>
          <w:tcPr>
            <w:tcW w:type="dxa" w:w="1584"/>
          </w:tcPr>
          <w:p>
            <w:pPr>
              <w:spacing w:after="20" w:before="20"/>
            </w:pPr>
            <w:r>
              <w:rPr>
                <w:rFonts w:ascii="TH Sarabun New" w:hAnsi="TH Sarabun New" w:cs="TH Sarabun New"/>
                <w:sz w:val="22"/>
                <w:szCs w:val="22"/>
              </w:rPr>
              <w:t xml:space="preserve">สูง (แก้แล้ว)</w:t>
            </w:r>
          </w:p>
        </w:tc>
      </w:tr>
      <w:tr>
        <w:tc>
          <w:tcPr>
            <w:tcW w:type="dxa" w:w="2304"/>
          </w:tcPr>
          <w:p>
            <w:pPr>
              <w:spacing w:after="20" w:before="20"/>
            </w:pPr>
            <w:r>
              <w:rPr>
                <w:rFonts w:ascii="TH Sarabun New" w:hAnsi="TH Sarabun New" w:cs="TH Sarabun New"/>
                <w:sz w:val="22"/>
                <w:szCs w:val="22"/>
              </w:rPr>
              <w:t xml:space="preserve">Commuter Tax</w:t>
            </w:r>
          </w:p>
        </w:tc>
        <w:tc>
          <w:tcPr>
            <w:tcW w:type="dxa" w:w="1728"/>
          </w:tcPr>
          <w:p>
            <w:pPr>
              <w:spacing w:after="20" w:before="20"/>
            </w:pPr>
            <w:r>
              <w:rPr>
                <w:rFonts w:ascii="TH Sarabun New" w:hAnsi="TH Sarabun New" w:cs="TH Sarabun New"/>
                <w:sz w:val="22"/>
                <w:szCs w:val="22"/>
              </w:rPr>
              <w:t xml:space="preserve">≈525–600 ลบ./ปี</w:t>
            </w:r>
          </w:p>
        </w:tc>
        <w:tc>
          <w:tcPr>
            <w:tcW w:type="dxa" w:w="2448"/>
          </w:tcPr>
          <w:p>
            <w:pPr>
              <w:spacing w:after="20" w:before="20"/>
            </w:pPr>
            <w:r>
              <w:rPr>
                <w:rFonts w:ascii="TH Sarabun New" w:hAnsi="TH Sarabun New" w:cs="TH Sarabun New"/>
                <w:sz w:val="22"/>
                <w:szCs w:val="22"/>
              </w:rPr>
              <w:t xml:space="preserve">100,000 × 35% × 15,000 ฿</w:t>
            </w:r>
          </w:p>
        </w:tc>
        <w:tc>
          <w:tcPr>
            <w:tcW w:type="dxa" w:w="1440"/>
          </w:tcPr>
          <w:p>
            <w:pPr>
              <w:spacing w:after="20" w:before="20"/>
            </w:pPr>
            <w:r>
              <w:rPr>
                <w:rFonts w:ascii="TH Sarabun New" w:hAnsi="TH Sarabun New" w:cs="TH Sarabun New"/>
                <w:sz w:val="22"/>
                <w:szCs w:val="22"/>
              </w:rPr>
              <w:t xml:space="preserve">คณะผู้จัดทำ</w:t>
            </w:r>
          </w:p>
        </w:tc>
        <w:tc>
          <w:tcPr>
            <w:tcW w:type="dxa" w:w="1584"/>
          </w:tcPr>
          <w:p>
            <w:pPr>
              <w:spacing w:after="20" w:before="20"/>
            </w:pPr>
            <w:r>
              <w:rPr>
                <w:rFonts w:ascii="TH Sarabun New" w:hAnsi="TH Sarabun New" w:cs="TH Sarabun New"/>
                <w:sz w:val="22"/>
                <w:szCs w:val="22"/>
              </w:rPr>
              <w:t xml:space="preserve">ต่ำ-กลาง (แก้แล้ว)</w:t>
            </w:r>
          </w:p>
        </w:tc>
      </w:tr>
      <w:tr>
        <w:tc>
          <w:tcPr>
            <w:tcW w:type="dxa" w:w="2304"/>
          </w:tcPr>
          <w:p>
            <w:pPr>
              <w:spacing w:after="20" w:before="20"/>
            </w:pPr>
            <w:r>
              <w:rPr>
                <w:rFonts w:ascii="TH Sarabun New" w:hAnsi="TH Sarabun New" w:cs="TH Sarabun New"/>
                <w:sz w:val="22"/>
                <w:szCs w:val="22"/>
              </w:rPr>
              <w:t xml:space="preserve">Complete Streets</w:t>
            </w:r>
          </w:p>
        </w:tc>
        <w:tc>
          <w:tcPr>
            <w:tcW w:type="dxa" w:w="1728"/>
          </w:tcPr>
          <w:p>
            <w:pPr>
              <w:spacing w:after="20" w:before="20"/>
            </w:pPr>
            <w:r>
              <w:rPr>
                <w:rFonts w:ascii="TH Sarabun New" w:hAnsi="TH Sarabun New" w:cs="TH Sarabun New"/>
                <w:sz w:val="22"/>
                <w:szCs w:val="22"/>
              </w:rPr>
              <w:t xml:space="preserve">อุบัติเหตุ −40% · มลพิษ −25%</w:t>
            </w:r>
          </w:p>
        </w:tc>
        <w:tc>
          <w:tcPr>
            <w:tcW w:type="dxa" w:w="2448"/>
          </w:tcPr>
          <w:p>
            <w:pPr>
              <w:spacing w:after="20" w:before="20"/>
            </w:pPr>
            <w:r>
              <w:rPr>
                <w:rFonts w:ascii="TH Sarabun New" w:hAnsi="TH Sarabun New" w:cs="TH Sarabun New"/>
                <w:sz w:val="22"/>
                <w:szCs w:val="22"/>
              </w:rPr>
              <w:t xml:space="preserve">โอนค่า benchmark + ปรับบริบท</w:t>
            </w:r>
          </w:p>
        </w:tc>
        <w:tc>
          <w:tcPr>
            <w:tcW w:type="dxa" w:w="1440"/>
          </w:tcPr>
          <w:p>
            <w:pPr>
              <w:spacing w:after="20" w:before="20"/>
            </w:pPr>
            <w:r>
              <w:rPr>
                <w:rFonts w:ascii="TH Sarabun New" w:hAnsi="TH Sarabun New" w:cs="TH Sarabun New"/>
                <w:sz w:val="22"/>
                <w:szCs w:val="22"/>
              </w:rPr>
              <w:t xml:space="preserve">NYC; ISGlobal</w:t>
            </w:r>
          </w:p>
        </w:tc>
        <w:tc>
          <w:tcPr>
            <w:tcW w:type="dxa" w:w="1584"/>
          </w:tcPr>
          <w:p>
            <w:pPr>
              <w:spacing w:after="20" w:before="20"/>
            </w:pPr>
            <w:r>
              <w:rPr>
                <w:rFonts w:ascii="TH Sarabun New" w:hAnsi="TH Sarabun New" w:cs="TH Sarabun New"/>
                <w:sz w:val="22"/>
                <w:szCs w:val="22"/>
              </w:rPr>
              <w:t xml:space="preserve">กลาง-สูง</w:t>
            </w:r>
          </w:p>
        </w:tc>
      </w:tr>
      <w:tr>
        <w:tc>
          <w:tcPr>
            <w:tcW w:type="dxa" w:w="2304"/>
          </w:tcPr>
          <w:p>
            <w:pPr>
              <w:spacing w:after="20" w:before="20"/>
            </w:pPr>
            <w:r>
              <w:rPr>
                <w:rFonts w:ascii="TH Sarabun New" w:hAnsi="TH Sarabun New" w:cs="TH Sarabun New"/>
                <w:sz w:val="22"/>
                <w:szCs w:val="22"/>
              </w:rPr>
              <w:t xml:space="preserve">GPP/หัว ~311,000 ฿ · ปชก. 1.36 ล้าน + แฝง 754,511</w:t>
            </w:r>
          </w:p>
        </w:tc>
        <w:tc>
          <w:tcPr>
            <w:tcW w:type="dxa" w:w="1728"/>
          </w:tcPr>
          <w:p>
            <w:pPr>
              <w:spacing w:after="20" w:before="20"/>
            </w:pPr>
            <w:r>
              <w:rPr>
                <w:rFonts w:ascii="TH Sarabun New" w:hAnsi="TH Sarabun New" w:cs="TH Sarabun New"/>
                <w:sz w:val="22"/>
                <w:szCs w:val="22"/>
              </w:rPr>
              <w:t xml:space="preserve">ปรับ</w:t>
            </w:r>
          </w:p>
        </w:tc>
        <w:tc>
          <w:tcPr>
            <w:tcW w:type="dxa" w:w="2448"/>
          </w:tcPr>
          <w:p>
            <w:pPr>
              <w:spacing w:after="20" w:before="20"/>
            </w:pPr>
            <w:r>
              <w:rPr>
                <w:rFonts w:ascii="TH Sarabun New" w:hAnsi="TH Sarabun New" w:cs="TH Sarabun New"/>
                <w:sz w:val="22"/>
                <w:szCs w:val="22"/>
              </w:rPr>
              <w:t xml:space="preserve">สถิติจังหวัด/สศช.</w:t>
            </w:r>
          </w:p>
        </w:tc>
        <w:tc>
          <w:tcPr>
            <w:tcW w:type="dxa" w:w="1440"/>
          </w:tcPr>
          <w:p>
            <w:pPr>
              <w:spacing w:after="20" w:before="20"/>
            </w:pPr>
            <w:r>
              <w:rPr>
                <w:rFonts w:ascii="TH Sarabun New" w:hAnsi="TH Sarabun New" w:cs="TH Sarabun New"/>
                <w:sz w:val="22"/>
                <w:szCs w:val="22"/>
              </w:rPr>
              <w:t>สศช. CVMs 2565 (311,251 ฿); NSO 2562</w:t>
            </w:r>
          </w:p>
        </w:tc>
        <w:tc>
          <w:tcPr>
            <w:tcW w:type="dxa" w:w="1584"/>
          </w:tcPr>
          <w:p>
            <w:pPr>
              <w:spacing w:after="20" w:before="20"/>
            </w:pPr>
            <w:r>
              <w:rPr>
                <w:rFonts w:ascii="TH Sarabun New" w:hAnsi="TH Sarabun New" w:cs="TH Sarabun New"/>
                <w:sz w:val="22"/>
                <w:szCs w:val="22"/>
              </w:rPr>
              <w:t>กลาง · ยืนยันแล้ว 311,251 ฿ (อันดับ 9)</w:t>
            </w:r>
          </w:p>
        </w:tc>
      </w:tr>
      <w:tr>
        <w:tc>
          <w:tcPr>
            <w:tcW w:type="dxa" w:w="2304"/>
          </w:tcPr>
          <w:p>
            <w:pPr>
              <w:spacing w:after="20" w:before="20"/>
            </w:pPr>
            <w:r>
              <w:rPr>
                <w:rFonts w:ascii="TH Sarabun New" w:hAnsi="TH Sarabun New" w:cs="TH Sarabun New"/>
                <w:sz w:val="22"/>
                <w:szCs w:val="22"/>
              </w:rPr>
              <w:t xml:space="preserve">แผ่นดินทรุด ~1 ซม./ปี · resilience +5–7%</w:t>
            </w:r>
          </w:p>
        </w:tc>
        <w:tc>
          <w:tcPr>
            <w:tcW w:type="dxa" w:w="1728"/>
          </w:tcPr>
          <w:p>
            <w:pPr>
              <w:spacing w:after="20" w:before="20"/>
            </w:pPr>
            <w:r>
              <w:rPr>
                <w:rFonts w:ascii="TH Sarabun New" w:hAnsi="TH Sarabun New" w:cs="TH Sarabun New"/>
                <w:sz w:val="22"/>
                <w:szCs w:val="22"/>
              </w:rPr>
              <w:t xml:space="preserve">คงไว้</w:t>
            </w:r>
          </w:p>
        </w:tc>
        <w:tc>
          <w:tcPr>
            <w:tcW w:type="dxa" w:w="2448"/>
          </w:tcPr>
          <w:p>
            <w:pPr>
              <w:spacing w:after="20" w:before="20"/>
            </w:pPr>
            <w:r>
              <w:rPr>
                <w:rFonts w:ascii="TH Sarabun New" w:hAnsi="TH Sarabun New" w:cs="TH Sarabun New"/>
                <w:sz w:val="22"/>
                <w:szCs w:val="22"/>
              </w:rPr>
              <w:t xml:space="preserve">ค่าทางธรณี/ภูมิอากาศ</w:t>
            </w:r>
          </w:p>
        </w:tc>
        <w:tc>
          <w:tcPr>
            <w:tcW w:type="dxa" w:w="1440"/>
          </w:tcPr>
          <w:p>
            <w:pPr>
              <w:spacing w:after="20" w:before="20"/>
            </w:pPr>
            <w:r>
              <w:rPr>
                <w:rFonts w:ascii="TH Sarabun New" w:hAnsi="TH Sarabun New" w:cs="TH Sarabun New"/>
                <w:sz w:val="22"/>
                <w:szCs w:val="22"/>
              </w:rPr>
              <w:t xml:space="preserve">สผ./งานวิจัย</w:t>
            </w:r>
          </w:p>
        </w:tc>
        <w:tc>
          <w:tcPr>
            <w:tcW w:type="dxa" w:w="1584"/>
          </w:tcPr>
          <w:p>
            <w:pPr>
              <w:spacing w:after="20" w:before="20"/>
            </w:pPr>
            <w:r>
              <w:rPr>
                <w:rFonts w:ascii="TH Sarabun New" w:hAnsi="TH Sarabun New" w:cs="TH Sarabun New"/>
                <w:sz w:val="22"/>
                <w:szCs w:val="22"/>
              </w:rPr>
              <w:t xml:space="preserve">กลาง</w:t>
            </w:r>
          </w:p>
        </w:tc>
      </w:tr>
      <w:tr>
        <w:tc>
          <w:tcPr>
            <w:tcW w:type="dxa" w:w="2304"/>
          </w:tcPr>
          <w:p>
            <w:pPr>
              <w:spacing w:after="20" w:before="20"/>
            </w:pPr>
            <w:r>
              <w:rPr>
                <w:rFonts w:ascii="TH Sarabun New" w:hAnsi="TH Sarabun New" w:cs="TH Sarabun New"/>
                <w:sz w:val="22"/>
                <w:szCs w:val="22"/>
              </w:rPr>
              <w:t xml:space="preserve">NTCH 51/30/19</w:t>
            </w:r>
          </w:p>
        </w:tc>
        <w:tc>
          <w:tcPr>
            <w:tcW w:type="dxa" w:w="1728"/>
          </w:tcPr>
          <w:p>
            <w:pPr>
              <w:spacing w:after="20" w:before="20"/>
            </w:pPr>
            <w:r>
              <w:rPr>
                <w:rFonts w:ascii="TH Sarabun New" w:hAnsi="TH Sarabun New" w:cs="TH Sarabun New"/>
                <w:sz w:val="22"/>
                <w:szCs w:val="22"/>
              </w:rPr>
              <w:t xml:space="preserve">คงไว้</w:t>
            </w:r>
          </w:p>
        </w:tc>
        <w:tc>
          <w:tcPr>
            <w:tcW w:type="dxa" w:w="2448"/>
          </w:tcPr>
          <w:p>
            <w:pPr>
              <w:spacing w:after="20" w:before="20"/>
            </w:pPr>
            <w:r>
              <w:rPr>
                <w:rFonts w:ascii="TH Sarabun New" w:hAnsi="TH Sarabun New" w:cs="TH Sarabun New"/>
                <w:sz w:val="22"/>
                <w:szCs w:val="22"/>
              </w:rPr>
              <w:t xml:space="preserve">รัฐถือข้างมากเพื่อคุมนโยบาย</w:t>
            </w:r>
          </w:p>
        </w:tc>
        <w:tc>
          <w:tcPr>
            <w:tcW w:type="dxa" w:w="1440"/>
          </w:tcPr>
          <w:p>
            <w:pPr>
              <w:spacing w:after="20" w:before="20"/>
            </w:pPr>
            <w:r>
              <w:rPr>
                <w:rFonts w:ascii="TH Sarabun New" w:hAnsi="TH Sarabun New" w:cs="TH Sarabun New"/>
                <w:sz w:val="22"/>
                <w:szCs w:val="22"/>
              </w:rPr>
              <w:t xml:space="preserve">คณะผู้จัดทำ</w:t>
            </w:r>
          </w:p>
        </w:tc>
        <w:tc>
          <w:tcPr>
            <w:tcW w:type="dxa" w:w="1584"/>
          </w:tcPr>
          <w:p>
            <w:pPr>
              <w:spacing w:after="20" w:before="20"/>
            </w:pPr>
            <w:r>
              <w:rPr>
                <w:rFonts w:ascii="TH Sarabun New" w:hAnsi="TH Sarabun New" w:cs="TH Sarabun New"/>
                <w:sz w:val="22"/>
                <w:szCs w:val="22"/>
              </w:rPr>
              <w:t xml:space="preserve">กลาง</w:t>
            </w:r>
          </w:p>
        </w:tc>
      </w:tr>
      <w:tr>
        <w:tc>
          <w:tcPr>
            <w:tcW w:type="dxa" w:w="2304"/>
          </w:tcPr>
          <w:p>
            <w:pPr>
              <w:spacing w:after="20" w:before="20"/>
            </w:pPr>
            <w:r>
              <w:rPr>
                <w:rFonts w:ascii="TH Sarabun New" w:hAnsi="TH Sarabun New" w:cs="TH Sarabun New"/>
                <w:sz w:val="22"/>
                <w:szCs w:val="22"/>
              </w:rPr>
              <w:t xml:space="preserve">discount rate 3–6% · sensitivity ±20%</w:t>
            </w:r>
          </w:p>
        </w:tc>
        <w:tc>
          <w:tcPr>
            <w:tcW w:type="dxa" w:w="1728"/>
          </w:tcPr>
          <w:p>
            <w:pPr>
              <w:spacing w:after="20" w:before="20"/>
            </w:pPr>
            <w:r>
              <w:rPr>
                <w:rFonts w:ascii="TH Sarabun New" w:hAnsi="TH Sarabun New" w:cs="TH Sarabun New"/>
                <w:sz w:val="22"/>
                <w:szCs w:val="22"/>
              </w:rPr>
              <w:t xml:space="preserve">มาตรฐาน</w:t>
            </w:r>
          </w:p>
        </w:tc>
        <w:tc>
          <w:tcPr>
            <w:tcW w:type="dxa" w:w="2448"/>
          </w:tcPr>
          <w:p>
            <w:pPr>
              <w:spacing w:after="20" w:before="20"/>
            </w:pPr>
            <w:r>
              <w:rPr>
                <w:rFonts w:ascii="TH Sarabun New" w:hAnsi="TH Sarabun New" w:cs="TH Sarabun New"/>
                <w:sz w:val="22"/>
                <w:szCs w:val="22"/>
              </w:rPr>
              <w:t xml:space="preserve">แนวปฏิบัติ CBA ภาครัฐ</w:t>
            </w:r>
          </w:p>
        </w:tc>
        <w:tc>
          <w:tcPr>
            <w:tcW w:type="dxa" w:w="1440"/>
          </w:tcPr>
          <w:p>
            <w:pPr>
              <w:spacing w:after="20" w:before="20"/>
            </w:pPr>
            <w:r>
              <w:rPr>
                <w:rFonts w:ascii="TH Sarabun New" w:hAnsi="TH Sarabun New" w:cs="TH Sarabun New"/>
                <w:sz w:val="22"/>
                <w:szCs w:val="22"/>
              </w:rPr>
              <w:t xml:space="preserve">สศช.</w:t>
            </w:r>
          </w:p>
        </w:tc>
        <w:tc>
          <w:tcPr>
            <w:tcW w:type="dxa" w:w="1584"/>
          </w:tcPr>
          <w:p>
            <w:pPr>
              <w:spacing w:after="20" w:before="20"/>
            </w:pPr>
            <w:r>
              <w:rPr>
                <w:rFonts w:ascii="TH Sarabun New" w:hAnsi="TH Sarabun New" w:cs="TH Sarabun New"/>
                <w:sz w:val="22"/>
                <w:szCs w:val="22"/>
              </w:rPr>
              <w:t xml:space="preserve">สูง</w:t>
            </w:r>
          </w:p>
        </w:tc>
      </w:tr>
    </w:tbl>
    <w:p>
      <w:pPr>
        <w:spacing w:before="0" w:after="80"/>
      </w:pPr>
      <w:r>
        <w:rPr>
          <w:rFonts w:ascii="TH Sarabun New" w:hAnsi="TH Sarabun New" w:cs="TH Sarabun New"/>
          <w:sz w:val="30"/>
          <w:szCs w:val="30"/>
        </w:rPr>
        <w:t xml:space="preserve">การคำนวณกลับ (worked calc) ฉบับเต็ม 3 ตัวเลขหลัก (ความสูญเสียเศรษฐกิจ · รายได้รายมาตรการ · BCR) แสดงในเอกสารแนบ "ส่วนปรับปรุงตามคอมเมนต์กรรมการ"</w:t>
      </w:r>
    </w:p>
    <w:p>
      <w:pPr>
        <w:spacing w:before="160" w:after="80"/>
      </w:pPr>
      <w:r>
        <w:rPr>
          <w:rFonts w:ascii="TH Sarabun New" w:hAnsi="TH Sarabun New" w:cs="TH Sarabun New"/>
          <w:sz w:val="32"/>
          <w:szCs w:val="32"/>
          <w:b/>
          <w:bCs/>
        </w:rPr>
        <w:t xml:space="preserve">ฎ.5 ข้อจำกัดของการศึกษา (Project Limitations)</w:t>
      </w:r>
    </w:p>
    <w:tbl>
      <w:tblPr>
        <w:tblStyle w:val="TableGrid"/>
        <w:tblW w:type="auto" w:w="0"/>
        <w:jc w:val="center"/>
        <w:tblLook w:firstColumn="1" w:firstRow="1" w:lastColumn="0" w:lastRow="0" w:noHBand="0" w:noVBand="1" w:val="04A0"/>
      </w:tblPr>
      <w:tblGrid>
        <w:gridCol w:w="2769"/>
        <w:gridCol w:w="2769"/>
        <w:gridCol w:w="2769"/>
      </w:tblGrid>
      <w:tr>
        <w:tc>
          <w:tcPr>
            <w:tcW w:type="dxa" w:w="2016"/>
          </w:tcPr>
          <w:p>
            <w:pPr>
              <w:spacing w:after="20" w:before="20"/>
            </w:pPr>
            <w:r>
              <w:rPr>
                <w:rFonts w:ascii="TH Sarabun New" w:hAnsi="TH Sarabun New" w:cs="TH Sarabun New"/>
                <w:sz w:val="25"/>
                <w:szCs w:val="25"/>
                <w:b/>
                <w:bCs/>
              </w:rPr>
              <w:t xml:space="preserve">กลุ่มข้อจำกัด</w:t>
            </w:r>
          </w:p>
        </w:tc>
        <w:tc>
          <w:tcPr>
            <w:tcW w:type="dxa" w:w="3744"/>
          </w:tcPr>
          <w:p>
            <w:pPr>
              <w:spacing w:after="20" w:before="20"/>
            </w:pPr>
            <w:r>
              <w:rPr>
                <w:rFonts w:ascii="TH Sarabun New" w:hAnsi="TH Sarabun New" w:cs="TH Sarabun New"/>
                <w:sz w:val="25"/>
                <w:szCs w:val="25"/>
                <w:b/>
                <w:bCs/>
              </w:rPr>
              <w:t xml:space="preserve">รายละเอียด</w:t>
            </w:r>
          </w:p>
        </w:tc>
        <w:tc>
          <w:tcPr>
            <w:tcW w:type="dxa" w:w="2880"/>
          </w:tcPr>
          <w:p>
            <w:pPr>
              <w:spacing w:after="20" w:before="20"/>
            </w:pPr>
            <w:r>
              <w:rPr>
                <w:rFonts w:ascii="TH Sarabun New" w:hAnsi="TH Sarabun New" w:cs="TH Sarabun New"/>
                <w:sz w:val="25"/>
                <w:szCs w:val="25"/>
                <w:b/>
                <w:bCs/>
              </w:rPr>
              <w:t xml:space="preserve">ข้อเสนอบรรเทา / ศึกษาต่อยอด</w:t>
            </w:r>
          </w:p>
        </w:tc>
      </w:tr>
      <w:tr>
        <w:tc>
          <w:tcPr>
            <w:tcW w:type="dxa" w:w="2016"/>
          </w:tcPr>
          <w:p>
            <w:pPr>
              <w:spacing w:after="20" w:before="20"/>
            </w:pPr>
            <w:r>
              <w:rPr>
                <w:rFonts w:ascii="TH Sarabun New" w:hAnsi="TH Sarabun New" w:cs="TH Sarabun New"/>
                <w:sz w:val="24"/>
                <w:szCs w:val="24"/>
              </w:rPr>
              <w:t xml:space="preserve">ด้านข้อมูล</w:t>
            </w:r>
          </w:p>
        </w:tc>
        <w:tc>
          <w:tcPr>
            <w:tcW w:type="dxa" w:w="3744"/>
          </w:tcPr>
          <w:p>
            <w:pPr>
              <w:spacing w:after="20" w:before="20"/>
            </w:pPr>
            <w:r>
              <w:rPr>
                <w:rFonts w:ascii="TH Sarabun New" w:hAnsi="TH Sarabun New" w:cs="TH Sarabun New"/>
                <w:sz w:val="24"/>
                <w:szCs w:val="24"/>
              </w:rPr>
              <w:t xml:space="preserve">ใช้ข้อมูลทุติยภูมิเป็นหลัก ยังไม่มี primary survey (WTP, traffic count)</w:t>
            </w:r>
          </w:p>
        </w:tc>
        <w:tc>
          <w:tcPr>
            <w:tcW w:type="dxa" w:w="2880"/>
          </w:tcPr>
          <w:p>
            <w:pPr>
              <w:spacing w:after="20" w:before="20"/>
            </w:pPr>
            <w:r>
              <w:rPr>
                <w:rFonts w:ascii="TH Sarabun New" w:hAnsi="TH Sarabun New" w:cs="TH Sarabun New"/>
                <w:sz w:val="24"/>
                <w:szCs w:val="24"/>
              </w:rPr>
              <w:t xml:space="preserve">Feasibility: สำรวจ WTP + ปริมาณจราจรเฉพาะพื้นที่</w:t>
            </w:r>
          </w:p>
        </w:tc>
      </w:tr>
      <w:tr>
        <w:tc>
          <w:tcPr>
            <w:tcW w:type="dxa" w:w="2016"/>
          </w:tcPr>
          <w:p>
            <w:pPr>
              <w:spacing w:after="20" w:before="20"/>
            </w:pPr>
            <w:r>
              <w:rPr>
                <w:rFonts w:ascii="TH Sarabun New" w:hAnsi="TH Sarabun New" w:cs="TH Sarabun New"/>
                <w:sz w:val="24"/>
                <w:szCs w:val="24"/>
              </w:rPr>
              <w:t xml:space="preserve">ด้านระเบียบวิธี</w:t>
            </w:r>
          </w:p>
        </w:tc>
        <w:tc>
          <w:tcPr>
            <w:tcW w:type="dxa" w:w="3744"/>
          </w:tcPr>
          <w:p>
            <w:pPr>
              <w:spacing w:after="20" w:before="20"/>
            </w:pPr>
            <w:r>
              <w:rPr>
                <w:rFonts w:ascii="TH Sarabun New" w:hAnsi="TH Sarabun New" w:cs="TH Sarabun New"/>
                <w:sz w:val="24"/>
                <w:szCs w:val="24"/>
              </w:rPr>
              <w:t xml:space="preserve">ประมาณการเป็นช่วง · benchmark ต่างบริบท · ยังไม่มีแบบจำลองจราจรเฉพาะพื้นที่</w:t>
            </w:r>
          </w:p>
        </w:tc>
        <w:tc>
          <w:tcPr>
            <w:tcW w:type="dxa" w:w="2880"/>
          </w:tcPr>
          <w:p>
            <w:pPr>
              <w:spacing w:after="20" w:before="20"/>
            </w:pPr>
            <w:r>
              <w:rPr>
                <w:rFonts w:ascii="TH Sarabun New" w:hAnsi="TH Sarabun New" w:cs="TH Sarabun New"/>
                <w:sz w:val="24"/>
                <w:szCs w:val="24"/>
              </w:rPr>
              <w:t xml:space="preserve">สร้างแบบจำลองจราจร/พลังงาน (4-step/SUMO)</w:t>
            </w:r>
          </w:p>
        </w:tc>
      </w:tr>
      <w:tr>
        <w:tc>
          <w:tcPr>
            <w:tcW w:type="dxa" w:w="2016"/>
          </w:tcPr>
          <w:p>
            <w:pPr>
              <w:spacing w:after="20" w:before="20"/>
            </w:pPr>
            <w:r>
              <w:rPr>
                <w:rFonts w:ascii="TH Sarabun New" w:hAnsi="TH Sarabun New" w:cs="TH Sarabun New"/>
                <w:sz w:val="24"/>
                <w:szCs w:val="24"/>
              </w:rPr>
              <w:t xml:space="preserve">เชิงสถาบัน/การเมือง</w:t>
            </w:r>
          </w:p>
        </w:tc>
        <w:tc>
          <w:tcPr>
            <w:tcW w:type="dxa" w:w="3744"/>
          </w:tcPr>
          <w:p>
            <w:pPr>
              <w:spacing w:after="20" w:before="20"/>
            </w:pPr>
            <w:r>
              <w:rPr>
                <w:rFonts w:ascii="TH Sarabun New" w:hAnsi="TH Sarabun New" w:cs="TH Sarabun New"/>
                <w:sz w:val="24"/>
                <w:szCs w:val="24"/>
              </w:rPr>
              <w:t xml:space="preserve">ความต่อเนื่องนโยบาย · ประสานข้ามกระทรวง · กฎหมายลำดับรอง</w:t>
            </w:r>
          </w:p>
        </w:tc>
        <w:tc>
          <w:tcPr>
            <w:tcW w:type="dxa" w:w="2880"/>
          </w:tcPr>
          <w:p>
            <w:pPr>
              <w:spacing w:after="20" w:before="20"/>
            </w:pPr>
            <w:r>
              <w:rPr>
                <w:rFonts w:ascii="TH Sarabun New" w:hAnsi="TH Sarabun New" w:cs="TH Sarabun New"/>
                <w:sz w:val="24"/>
                <w:szCs w:val="24"/>
              </w:rPr>
              <w:t xml:space="preserve">บรรจุในกฎหมาย + งบผูกพัน</w:t>
            </w:r>
          </w:p>
        </w:tc>
      </w:tr>
      <w:tr>
        <w:tc>
          <w:tcPr>
            <w:tcW w:type="dxa" w:w="2016"/>
          </w:tcPr>
          <w:p>
            <w:pPr>
              <w:spacing w:after="20" w:before="20"/>
            </w:pPr>
            <w:r>
              <w:rPr>
                <w:rFonts w:ascii="TH Sarabun New" w:hAnsi="TH Sarabun New" w:cs="TH Sarabun New"/>
                <w:sz w:val="24"/>
                <w:szCs w:val="24"/>
              </w:rPr>
              <w:t xml:space="preserve">ด้านขอบเขต</w:t>
            </w:r>
          </w:p>
        </w:tc>
        <w:tc>
          <w:tcPr>
            <w:tcW w:type="dxa" w:w="3744"/>
          </w:tcPr>
          <w:p>
            <w:pPr>
              <w:spacing w:after="20" w:before="20"/>
            </w:pPr>
            <w:r>
              <w:rPr>
                <w:rFonts w:ascii="TH Sarabun New" w:hAnsi="TH Sarabun New" w:cs="TH Sarabun New"/>
                <w:sz w:val="24"/>
                <w:szCs w:val="24"/>
              </w:rPr>
              <w:t xml:space="preserve">โฟกัส 1 จังหวัด · เวลาจำกัด · ไม่ครอบคลุมออกแบบวิศวกรรม/การเงินเชิงลึก</w:t>
            </w:r>
          </w:p>
        </w:tc>
        <w:tc>
          <w:tcPr>
            <w:tcW w:type="dxa" w:w="2880"/>
          </w:tcPr>
          <w:p>
            <w:pPr>
              <w:spacing w:after="20" w:before="20"/>
            </w:pPr>
            <w:r>
              <w:rPr>
                <w:rFonts w:ascii="TH Sarabun New" w:hAnsi="TH Sarabun New" w:cs="TH Sarabun New"/>
                <w:sz w:val="24"/>
                <w:szCs w:val="24"/>
              </w:rPr>
              <w:t xml:space="preserve">ขยายการศึกษาเชิงวิศวกรรม + การเงิน</w:t>
            </w:r>
          </w:p>
        </w:tc>
      </w:tr>
    </w:tbl>
    <w:p>
      <w:pPr>
        <w:spacing w:before="0" w:after="80"/>
      </w:pPr>
      <w:r>
        <w:rPr>
          <w:rFonts w:ascii="TH Sarabun New" w:hAnsi="TH Sarabun New" w:cs="TH Sarabun New"/>
          <w:sz w:val="30"/>
          <w:szCs w:val="30"/>
        </w:rPr>
        <w:t xml:space="preserve">การประกาศข้อจำกัดล่วงหน้าคือการเพิ่ม ไม่ใช่ลด ความน่าเชื่อถือของรายงาน และเป็นจุดเชื่อมไปสู่การศึกษาความเป็นไปได้ (Feasibility Study)</w:t>
      </w:r>
    </w:p>
    <w:p>
      <w:pPr>
        <w:spacing w:before="160" w:after="80"/>
      </w:pPr>
      <w:r>
        <w:rPr>
          <w:rFonts w:ascii="TH Sarabun New" w:hAnsi="TH Sarabun New" w:cs="TH Sarabun New"/>
          <w:sz w:val="32"/>
          <w:szCs w:val="32"/>
          <w:b/>
          <w:bCs/>
        </w:rPr>
        <w:t xml:space="preserve">ฎ.6 ข้อเสนอปรับแก้ตัวเลขที่เสี่ยงถูกท้วง (ค่าเดิม → ค่าใหม่ → เหตุผล)</w:t>
      </w:r>
    </w:p>
    <w:tbl>
      <w:tblPr>
        <w:tblStyle w:val="TableGrid"/>
        <w:tblW w:type="auto" w:w="0"/>
        <w:jc w:val="center"/>
        <w:tblLook w:firstColumn="1" w:firstRow="1" w:lastColumn="0" w:lastRow="0" w:noHBand="0" w:noVBand="1" w:val="04A0"/>
      </w:tblPr>
      <w:tblGrid>
        <w:gridCol w:w="2076"/>
        <w:gridCol w:w="2076"/>
        <w:gridCol w:w="2076"/>
        <w:gridCol w:w="2076"/>
      </w:tblGrid>
      <w:tr>
        <w:tc>
          <w:tcPr>
            <w:tcW w:type="dxa" w:w="2160"/>
          </w:tcPr>
          <w:p>
            <w:pPr>
              <w:spacing w:after="20" w:before="20"/>
            </w:pPr>
            <w:r>
              <w:rPr>
                <w:rFonts w:ascii="TH Sarabun New" w:hAnsi="TH Sarabun New" w:cs="TH Sarabun New"/>
                <w:sz w:val="25"/>
                <w:szCs w:val="25"/>
                <w:b/>
                <w:bCs/>
              </w:rPr>
              <w:t xml:space="preserve">ประเด็น</w:t>
            </w:r>
          </w:p>
        </w:tc>
        <w:tc>
          <w:tcPr>
            <w:tcW w:type="dxa" w:w="1872"/>
          </w:tcPr>
          <w:p>
            <w:pPr>
              <w:spacing w:after="20" w:before="20"/>
            </w:pPr>
            <w:r>
              <w:rPr>
                <w:rFonts w:ascii="TH Sarabun New" w:hAnsi="TH Sarabun New" w:cs="TH Sarabun New"/>
                <w:sz w:val="25"/>
                <w:szCs w:val="25"/>
                <w:b/>
                <w:bCs/>
              </w:rPr>
              <w:t xml:space="preserve">ค่าเดิม</w:t>
            </w:r>
          </w:p>
        </w:tc>
        <w:tc>
          <w:tcPr>
            <w:tcW w:type="dxa" w:w="2160"/>
          </w:tcPr>
          <w:p>
            <w:pPr>
              <w:spacing w:after="20" w:before="20"/>
            </w:pPr>
            <w:r>
              <w:rPr>
                <w:rFonts w:ascii="TH Sarabun New" w:hAnsi="TH Sarabun New" w:cs="TH Sarabun New"/>
                <w:sz w:val="25"/>
                <w:szCs w:val="25"/>
                <w:b/>
                <w:bCs/>
              </w:rPr>
              <w:t xml:space="preserve">ค่าใหม่ที่เสนอ</w:t>
            </w:r>
          </w:p>
        </w:tc>
        <w:tc>
          <w:tcPr>
            <w:tcW w:type="dxa" w:w="2448"/>
          </w:tcPr>
          <w:p>
            <w:pPr>
              <w:spacing w:after="20" w:before="20"/>
            </w:pPr>
            <w:r>
              <w:rPr>
                <w:rFonts w:ascii="TH Sarabun New" w:hAnsi="TH Sarabun New" w:cs="TH Sarabun New"/>
                <w:sz w:val="25"/>
                <w:szCs w:val="25"/>
                <w:b/>
                <w:bCs/>
              </w:rPr>
              <w:t xml:space="preserve">เหตุผล</w:t>
            </w:r>
          </w:p>
        </w:tc>
      </w:tr>
      <w:tr>
        <w:tc>
          <w:tcPr>
            <w:tcW w:type="dxa" w:w="2160"/>
          </w:tcPr>
          <w:p>
            <w:pPr>
              <w:spacing w:after="20" w:before="20"/>
            </w:pPr>
            <w:r>
              <w:rPr>
                <w:rFonts w:ascii="TH Sarabun New" w:hAnsi="TH Sarabun New" w:cs="TH Sarabun New"/>
                <w:sz w:val="24"/>
                <w:szCs w:val="24"/>
              </w:rPr>
              <w:t xml:space="preserve">ลดต้นทุนรับชำระ</w:t>
            </w:r>
          </w:p>
        </w:tc>
        <w:tc>
          <w:tcPr>
            <w:tcW w:type="dxa" w:w="1872"/>
          </w:tcPr>
          <w:p>
            <w:pPr>
              <w:spacing w:after="20" w:before="20"/>
            </w:pPr>
            <w:r>
              <w:rPr>
                <w:rFonts w:ascii="TH Sarabun New" w:hAnsi="TH Sarabun New" w:cs="TH Sarabun New"/>
                <w:sz w:val="24"/>
                <w:szCs w:val="24"/>
              </w:rPr>
              <w:t xml:space="preserve">~70%</w:t>
            </w:r>
          </w:p>
        </w:tc>
        <w:tc>
          <w:tcPr>
            <w:tcW w:type="dxa" w:w="2160"/>
          </w:tcPr>
          <w:p>
            <w:pPr>
              <w:spacing w:after="20" w:before="20"/>
            </w:pPr>
            <w:r>
              <w:rPr>
                <w:rFonts w:ascii="TH Sarabun New" w:hAnsi="TH Sarabun New" w:cs="TH Sarabun New"/>
                <w:sz w:val="24"/>
                <w:szCs w:val="24"/>
              </w:rPr>
              <w:t xml:space="preserve">15%→9% ของรายได้</w:t>
            </w:r>
          </w:p>
        </w:tc>
        <w:tc>
          <w:tcPr>
            <w:tcW w:type="dxa" w:w="2448"/>
          </w:tcPr>
          <w:p>
            <w:pPr>
              <w:spacing w:after="20" w:before="20"/>
            </w:pPr>
            <w:r>
              <w:rPr>
                <w:rFonts w:ascii="TH Sarabun New" w:hAnsi="TH Sarabun New" w:cs="TH Sarabun New"/>
                <w:sz w:val="24"/>
                <w:szCs w:val="24"/>
              </w:rPr>
              <w:t xml:space="preserve">หลักฐาน TfL/US DOT (แก้ในเล่มแล้ว)</w:t>
            </w:r>
          </w:p>
        </w:tc>
      </w:tr>
      <w:tr>
        <w:tc>
          <w:tcPr>
            <w:tcW w:type="dxa" w:w="2160"/>
          </w:tcPr>
          <w:p>
            <w:pPr>
              <w:spacing w:after="20" w:before="20"/>
            </w:pPr>
            <w:r>
              <w:rPr>
                <w:rFonts w:ascii="TH Sarabun New" w:hAnsi="TH Sarabun New" w:cs="TH Sarabun New"/>
                <w:sz w:val="24"/>
                <w:szCs w:val="24"/>
              </w:rPr>
              <w:t xml:space="preserve">ขอบเขตงบ/รายได้</w:t>
            </w:r>
          </w:p>
        </w:tc>
        <w:tc>
          <w:tcPr>
            <w:tcW w:type="dxa" w:w="1872"/>
          </w:tcPr>
          <w:p>
            <w:pPr>
              <w:spacing w:after="20" w:before="20"/>
            </w:pPr>
            <w:r>
              <w:rPr>
                <w:rFonts w:ascii="TH Sarabun New" w:hAnsi="TH Sarabun New" w:cs="TH Sarabun New"/>
                <w:sz w:val="24"/>
                <w:szCs w:val="24"/>
              </w:rPr>
              <w:t xml:space="preserve">ไม่ระบุ</w:t>
            </w:r>
          </w:p>
        </w:tc>
        <w:tc>
          <w:tcPr>
            <w:tcW w:type="dxa" w:w="2160"/>
          </w:tcPr>
          <w:p>
            <w:pPr>
              <w:spacing w:after="20" w:before="20"/>
            </w:pPr>
            <w:r>
              <w:rPr>
                <w:rFonts w:ascii="TH Sarabun New" w:hAnsi="TH Sarabun New" w:cs="TH Sarabun New"/>
                <w:sz w:val="24"/>
                <w:szCs w:val="24"/>
              </w:rPr>
              <w:t xml:space="preserve">กำกับ pilot vs national</w:t>
            </w:r>
          </w:p>
        </w:tc>
        <w:tc>
          <w:tcPr>
            <w:tcW w:type="dxa" w:w="2448"/>
          </w:tcPr>
          <w:p>
            <w:pPr>
              <w:spacing w:after="20" w:before="20"/>
            </w:pPr>
            <w:r>
              <w:rPr>
                <w:rFonts w:ascii="TH Sarabun New" w:hAnsi="TH Sarabun New" w:cs="TH Sarabun New"/>
                <w:sz w:val="24"/>
                <w:szCs w:val="24"/>
              </w:rPr>
              <w:t xml:space="preserve">งบ 12,000 ลบ. + รายได้ 27–42k เป็นระดับประเทศ</w:t>
            </w:r>
          </w:p>
        </w:tc>
      </w:tr>
      <w:tr>
        <w:tc>
          <w:tcPr>
            <w:tcW w:type="dxa" w:w="2160"/>
          </w:tcPr>
          <w:p>
            <w:pPr>
              <w:spacing w:after="20" w:before="20"/>
            </w:pPr>
            <w:r>
              <w:rPr>
                <w:rFonts w:ascii="TH Sarabun New" w:hAnsi="TH Sarabun New" w:cs="TH Sarabun New"/>
                <w:sz w:val="24"/>
                <w:szCs w:val="24"/>
              </w:rPr>
              <w:t xml:space="preserve">Commuter Tax</w:t>
            </w:r>
          </w:p>
        </w:tc>
        <w:tc>
          <w:tcPr>
            <w:tcW w:type="dxa" w:w="1872"/>
          </w:tcPr>
          <w:p>
            <w:pPr>
              <w:spacing w:after="20" w:before="20"/>
            </w:pPr>
            <w:r>
              <w:rPr>
                <w:rFonts w:ascii="TH Sarabun New" w:hAnsi="TH Sarabun New" w:cs="TH Sarabun New"/>
                <w:sz w:val="24"/>
                <w:szCs w:val="24"/>
              </w:rPr>
              <w:t xml:space="preserve">1,000–1,500 ลบ./ปี</w:t>
            </w:r>
          </w:p>
        </w:tc>
        <w:tc>
          <w:tcPr>
            <w:tcW w:type="dxa" w:w="2160"/>
          </w:tcPr>
          <w:p>
            <w:pPr>
              <w:spacing w:after="20" w:before="20"/>
            </w:pPr>
            <w:r>
              <w:rPr>
                <w:rFonts w:ascii="TH Sarabun New" w:hAnsi="TH Sarabun New" w:cs="TH Sarabun New"/>
                <w:sz w:val="24"/>
                <w:szCs w:val="24"/>
              </w:rPr>
              <w:t xml:space="preserve">≈525–600 ลบ./ปี</w:t>
            </w:r>
          </w:p>
        </w:tc>
        <w:tc>
          <w:tcPr>
            <w:tcW w:type="dxa" w:w="2448"/>
          </w:tcPr>
          <w:p>
            <w:pPr>
              <w:spacing w:after="20" w:before="20"/>
            </w:pPr>
            <w:r>
              <w:rPr>
                <w:rFonts w:ascii="TH Sarabun New" w:hAnsi="TH Sarabun New" w:cs="TH Sarabun New"/>
                <w:sz w:val="24"/>
                <w:szCs w:val="24"/>
              </w:rPr>
              <w:t xml:space="preserve">100,000×35%×15,000 (แก้ในเล่มแล้ว)</w:t>
            </w:r>
          </w:p>
        </w:tc>
      </w:tr>
      <w:tr>
        <w:tc>
          <w:tcPr>
            <w:tcW w:type="dxa" w:w="2160"/>
          </w:tcPr>
          <w:p>
            <w:pPr>
              <w:spacing w:after="20" w:before="20"/>
            </w:pPr>
            <w:r>
              <w:rPr>
                <w:rFonts w:ascii="TH Sarabun New" w:hAnsi="TH Sarabun New" w:cs="TH Sarabun New"/>
                <w:sz w:val="24"/>
                <w:szCs w:val="24"/>
              </w:rPr>
              <w:t xml:space="preserve">GPP/หัว</w:t>
            </w:r>
          </w:p>
        </w:tc>
        <w:tc>
          <w:tcPr>
            <w:tcW w:type="dxa" w:w="1872"/>
          </w:tcPr>
          <w:p>
            <w:pPr>
              <w:spacing w:after="20" w:before="20"/>
            </w:pPr>
            <w:r>
              <w:rPr>
                <w:rFonts w:ascii="TH Sarabun New" w:hAnsi="TH Sarabun New" w:cs="TH Sarabun New"/>
                <w:sz w:val="24"/>
                <w:szCs w:val="24"/>
              </w:rPr>
              <w:t xml:space="preserve">311,000 ฿</w:t>
            </w:r>
          </w:p>
        </w:tc>
        <w:tc>
          <w:tcPr>
            <w:tcW w:type="dxa" w:w="2160"/>
          </w:tcPr>
          <w:p>
            <w:pPr>
              <w:spacing w:after="20" w:before="20"/>
            </w:pPr>
            <w:r>
              <w:rPr>
                <w:rFonts w:ascii="TH Sarabun New" w:hAnsi="TH Sarabun New" w:cs="TH Sarabun New"/>
                <w:sz w:val="24"/>
                <w:szCs w:val="24"/>
              </w:rPr>
              <w:t>ยืนยัน 311,251 ฿ (สศช. CVMs 2565)</w:t>
            </w:r>
          </w:p>
        </w:tc>
        <w:tc>
          <w:tcPr>
            <w:tcW w:type="dxa" w:w="2448"/>
          </w:tcPr>
          <w:p>
            <w:pPr>
              <w:spacing w:after="20" w:before="20"/>
            </w:pPr>
            <w:r>
              <w:rPr>
                <w:rFonts w:ascii="TH Sarabun New" w:hAnsi="TH Sarabun New" w:cs="TH Sarabun New"/>
                <w:sz w:val="24"/>
                <w:szCs w:val="24"/>
              </w:rPr>
              <w:t>ตัวเลขในเล่มถูกต้อง · 528,899 ฿ (2553) เป็นข้อมูลเก่า/คนละฐาน</w:t>
            </w:r>
          </w:p>
        </w:tc>
      </w:tr>
      <w:tr>
        <w:tc>
          <w:tcPr>
            <w:tcW w:type="dxa" w:w="2160"/>
          </w:tcPr>
          <w:p>
            <w:pPr>
              <w:spacing w:after="20" w:before="20"/>
            </w:pPr>
            <w:r>
              <w:rPr>
                <w:rFonts w:ascii="TH Sarabun New" w:hAnsi="TH Sarabun New" w:cs="TH Sarabun New"/>
                <w:sz w:val="24"/>
                <w:szCs w:val="24"/>
              </w:rPr>
              <w:t xml:space="preserve">BCR</w:t>
            </w:r>
          </w:p>
        </w:tc>
        <w:tc>
          <w:tcPr>
            <w:tcW w:type="dxa" w:w="1872"/>
          </w:tcPr>
          <w:p>
            <w:pPr>
              <w:spacing w:after="20" w:before="20"/>
            </w:pPr>
            <w:r>
              <w:rPr>
                <w:rFonts w:ascii="TH Sarabun New" w:hAnsi="TH Sarabun New" w:cs="TH Sarabun New"/>
                <w:sz w:val="24"/>
                <w:szCs w:val="24"/>
              </w:rPr>
              <w:t xml:space="preserve">8–12 (ปนรายได้)</w:t>
            </w:r>
          </w:p>
        </w:tc>
        <w:tc>
          <w:tcPr>
            <w:tcW w:type="dxa" w:w="2160"/>
          </w:tcPr>
          <w:p>
            <w:pPr>
              <w:spacing w:after="20" w:before="20"/>
            </w:pPr>
            <w:r>
              <w:rPr>
                <w:rFonts w:ascii="TH Sarabun New" w:hAnsi="TH Sarabun New" w:cs="TH Sarabun New"/>
                <w:sz w:val="24"/>
                <w:szCs w:val="24"/>
              </w:rPr>
              <w:t xml:space="preserve">แยก econ/financial + ช่วง</w:t>
            </w:r>
          </w:p>
        </w:tc>
        <w:tc>
          <w:tcPr>
            <w:tcW w:type="dxa" w:w="2448"/>
          </w:tcPr>
          <w:p>
            <w:pPr>
              <w:spacing w:after="20" w:before="20"/>
            </w:pPr>
            <w:r>
              <w:rPr>
                <w:rFonts w:ascii="TH Sarabun New" w:hAnsi="TH Sarabun New" w:cs="TH Sarabun New"/>
                <w:sz w:val="24"/>
                <w:szCs w:val="24"/>
              </w:rPr>
              <w:t xml:space="preserve">รายได้ภาษีเป็น transfer ไม่ใช่สวัสดิการ</w:t>
            </w:r>
          </w:p>
        </w:tc>
      </w:tr>
    </w:tbl>
    <w:sectPr w:rsidR="00FC693F" w:rsidRPr="0006063C" w:rsidSect="00034616">
      <w:footerReference w:type="default" r:id="rId12"/>
      <w:headerReference w:type="default" r:id="rId13"/>
      <w:pgSz w:w="11906" w:h="16838"/>
      <w:pgMar w:top="2160" w:right="1440" w:bottom="1440" w:left="2160" w:header="720" w:footer="720" w:gutter="0"/>
      <w:cols w:space="720"/>
      <w:docGrid w:linePitch="360"/>
      <w:pgNumType w:fmt="decimal"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line="240" w:lineRule="auto"/>
      <w:jc w:val="right"/>
    </w:pPr>
    <w:r>
      <w:rPr>
        <w:rFonts w:ascii="TH Sarabun New" w:hAnsi="TH Sarabun New" w:cs="TH Sarabun New" w:eastAsia="TH Sarabun New"/>
        <w:b w:val="0"/>
        <w:i w:val="0"/>
        <w:sz w:val="28"/>
        <w:szCs w:val="28"/>
      </w:rPr>
      <w:fldChar w:fldCharType="begin"/>
      <w:instrText>PAGE</w:instrText>
      <w:fldChar w:fldCharType="end"/>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line="240" w:lineRule="auto"/>
      <w:jc w:val="right"/>
    </w:pPr>
    <w:r>
      <w:rPr>
        <w:rFonts w:ascii="TH Sarabun New" w:hAnsi="TH Sarabun New" w:cs="TH Sarabun New" w:eastAsia="TH Sarabun New"/>
        <w:b w:val="0"/>
        <w:i w:val="0"/>
        <w:sz w:val="28"/>
        <w:szCs w:val="28"/>
      </w:rPr>
      <w:fldChar w:fldCharType="begin"/>
      <w:instrText>PAGE</w:instrText>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H Sarabun New" w:hAnsi="TH Sarabun New"/>
      <w:sz w:val="32"/>
      <w:rFonts w:ascii="TH Sarabun New" w:hAnsi="TH Sarabun New" w:cs="TH Sarabun New" w:eastAsia="TH Sarabun New"/>
      <w:sz w:val="32"/>
      <w:szCs w:val="3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image7.png"/><Relationship Id="rId20" Type="http://schemas.openxmlformats.org/officeDocument/2006/relationships/image" Target="media/image8.png"/><Relationship Id="rId21" Type="http://schemas.openxmlformats.org/officeDocument/2006/relationships/hyperlink" Target="https://www.drt.go.th/" TargetMode="External"/><Relationship Id="rId22" Type="http://schemas.openxmlformats.org/officeDocument/2006/relationships/hyperlink" Target="https://www.pcd.go.th/" TargetMode="External"/><Relationship Id="rId23" Type="http://schemas.openxmlformats.org/officeDocument/2006/relationships/hyperlink" Target="https://www.mot.go.th/" TargetMode="External"/><Relationship Id="rId24" Type="http://schemas.openxmlformats.org/officeDocument/2006/relationships/hyperlink" Target="https://prt.parliament.go.th/items/4863ca91-79b1-49ec-b583-3c9223913e8c/full" TargetMode="External"/><Relationship Id="rId25" Type="http://schemas.openxmlformats.org/officeDocument/2006/relationships/hyperlink" Target="https://law.prd.go.th/th/content/article/detail/id/2475/iid/234607" TargetMode="External"/><Relationship Id="rId26" Type="http://schemas.openxmlformats.org/officeDocument/2006/relationships/hyperlink" Target="https://www.dga.or.th/document/106069/" TargetMode="External"/><Relationship Id="rId27" Type="http://schemas.openxmlformats.org/officeDocument/2006/relationships/hyperlink" Target="https://www.otp.go.th/" TargetMode="External"/><Relationship Id="rId28" Type="http://schemas.openxmlformats.org/officeDocument/2006/relationships/hyperlink" Target="https://climate.onep.go.th/th/tag/lt-leds/" TargetMode="External"/><Relationship Id="rId29" Type="http://schemas.openxmlformats.org/officeDocument/2006/relationships/hyperlink" Target="https://www.nesdc.go.th/download/the-13th-national-economic-and-social-development-plan-peoples-edition/" TargetMode="External"/><Relationship Id="rId30" Type="http://schemas.openxmlformats.org/officeDocument/2006/relationships/hyperlink" Target="https://www.nesdc.go.th/nscr/main/" TargetMode="External"/><Relationship Id="rId31" Type="http://schemas.openxmlformats.org/officeDocument/2006/relationships/hyperlink" Target="https://www.boi.go.th/" TargetMode="External"/><Relationship Id="rId32" Type="http://schemas.openxmlformats.org/officeDocument/2006/relationships/hyperlink" Target="https://www.etda.or.th/th/regulator/DigitalID/index.aspx" TargetMode="External"/><Relationship Id="rId33" Type="http://schemas.openxmlformats.org/officeDocument/2006/relationships/hyperlink" Target="https://tdri.or.th/" TargetMode="External"/><Relationship Id="rId34" Type="http://schemas.openxmlformats.org/officeDocument/2006/relationships/hyperlink" Target="http://samutprakan-pao.go.th/" TargetMode="External"/><Relationship Id="rId35" Type="http://schemas.openxmlformats.org/officeDocument/2006/relationships/hyperlink" Target="https://www.intelligenttransport.com/digital/et-its-supplement-2014/offline/download.pdf" TargetMode="External"/><Relationship Id="rId36" Type="http://schemas.openxmlformats.org/officeDocument/2006/relationships/hyperlink" Target="https://doi.org/10.1186/s12544-019-0363-7" TargetMode="External"/><Relationship Id="rId37" Type="http://schemas.openxmlformats.org/officeDocument/2006/relationships/hyperlink" Target="https://doi.org/10.1016/j.tra.2019.09.033" TargetMode="External"/><Relationship Id="rId38" Type="http://schemas.openxmlformats.org/officeDocument/2006/relationships/hyperlink" Target="https://www.lta.gov.sg/content/ltagov/en/who_we_are/our_work/road.html" TargetMode="External"/><Relationship Id="rId39" Type="http://schemas.openxmlformats.org/officeDocument/2006/relationships/hyperlink" Target="https://www.seoulsolution.kr/en/content/one-card-fits-all-integrated-public-transport-fare-system" TargetMode="External"/><Relationship Id="rId40" Type="http://schemas.openxmlformats.org/officeDocument/2006/relationships/hyperlink" Target="https://www.iea.org/reports/global-ev-outlook-2023" TargetMode="External"/><Relationship Id="rId41" Type="http://schemas.openxmlformats.org/officeDocument/2006/relationships/hyperlink" Target="https://www.sciencedirect.com/science/article/abs/pii/S2210539518300476" TargetMode="External"/><Relationship Id="rId42" Type="http://schemas.openxmlformats.org/officeDocument/2006/relationships/hyperlink" Target="https://www.tomtom.com/traffic-index/ranking" TargetMode="External"/><Relationship Id="rId43" Type="http://schemas.openxmlformats.org/officeDocument/2006/relationships/hyperlink" Target="https://tfl.gov.uk/fares/ways-to-pay/pay-as-you-go" TargetMode="External"/><Relationship Id="rId44" Type="http://schemas.openxmlformats.org/officeDocument/2006/relationships/hyperlink" Target="https://www.worldbank.org/en/country/thailand/publication/thailand-economic-monitor-reports" TargetMode="External"/><Relationship Id="rId45" Type="http://schemas.openxmlformats.org/officeDocument/2006/relationships/hyperlink" Target="https://www.jelbi.de/en/home/" TargetMode="External"/><Relationship Id="rId46" Type="http://schemas.openxmlformats.org/officeDocument/2006/relationships/hyperlink" Target="https://www.wienerlinien.at/web/wl-en/annual-pass" TargetMode="External"/><Relationship Id="rId47" Type="http://schemas.openxmlformats.org/officeDocument/2006/relationships/hyperlink" Target="https://sdgs.un.org/2030agenda" TargetMode="External"/><Relationship Id="rId48" Type="http://schemas.openxmlformats.org/officeDocument/2006/relationships/hyperlink" Target="https://www.researchgate.net/publication/285057032_Strategic_inquiry_with_appreciative_intent_Inspiration_to_SOAR" TargetMode="External"/><Relationship Id="rId49" Type="http://schemas.openxmlformats.org/officeDocument/2006/relationships/hyperlink" Target="https://pmc.ncbi.nlm.nih.gov/articles/PMC9028961/" TargetMode="External"/><Relationship Id="rId50" Type="http://schemas.openxmlformats.org/officeDocument/2006/relationships/hyperlink" Target="https://www.traffictechnologytoday.com/news/mobility-as-a-service/maas-global-declares-bankruptcy.html" TargetMode="External"/><Relationship Id="rId51" Type="http://schemas.openxmlformats.org/officeDocument/2006/relationships/hyperlink" Target="https://transportnsw.info/tickets-fares/opal" TargetMode="External"/><Relationship Id="rId52" Type="http://schemas.openxmlformats.org/officeDocument/2006/relationships/hyperlink" Target="https://www.kasikornresearch.com/th/analysis/k-econ/economy/Pages/35675.aspx" TargetMode="External"/><Relationship Id="rId53" Type="http://schemas.openxmlformats.org/officeDocument/2006/relationships/hyperlink" Target="https://smprakan.nso.go.th/" TargetMode="External"/><Relationship Id="rId54" Type="http://schemas.openxmlformats.org/officeDocument/2006/relationships/hyperlink" Target="https://www.nesdc.go.th/info/gross-regional-and-provincial-product/" TargetMode="External"/><Relationship Id="rId55" Type="http://schemas.openxmlformats.org/officeDocument/2006/relationships/hyperlink" Target="https://bangpoo.ieat.go.th/th" TargetMode="External"/><Relationship Id="rId56" Type="http://schemas.openxmlformats.org/officeDocument/2006/relationships/hyperlink" Target="https://tfl-newsroom.prgloo.com/news/tfl-press-release-half-of-all-tube-and-rail-pay-as-you-go-journeys-across-london-now-made-using-contactless-payments" TargetMode="External"/><Relationship Id="rId57" Type="http://schemas.openxmlformats.org/officeDocument/2006/relationships/hyperlink" Target="https://www.itskrs.its.dot.gov/2021-b01590" TargetMode="External"/><Relationship Id="rId58" Type="http://schemas.openxmlformats.org/officeDocument/2006/relationships/hyperlink" Target="https://comptroller.nyc.gov/reports/streets-for-people-open-streets-and-the-future-of-public-space-management-in-nyc/" TargetMode="External"/><Relationship Id="rId59" Type="http://schemas.openxmlformats.org/officeDocument/2006/relationships/hyperlink" Target="https://www.isglobal.org/en/-/el-proyecto-original-de-las-supermanzanas-podria-evitar-cerca-de-700-muertes-prematuras-anuales-en-barcelona" TargetMode="External"/><Relationship Id="rId60" Type="http://schemas.openxmlformats.org/officeDocument/2006/relationships/hyperlink" Target="https://www.who.int/thailand/news/detail/08-06-2022-the-cost-of-clean-air-in-thailand" TargetMode="External"/><Relationship Id="rId61" Type="http://schemas.openxmlformats.org/officeDocument/2006/relationships/hyperlink" Target="https://entreprendre.service-public.gouv.fr/vosdroits/F31031?lang=en" TargetMode="External"/><Relationship Id="rId62" Type="http://schemas.openxmlformats.org/officeDocument/2006/relationships/hyperlink" Target="https://www.cushmanwakefield.com/en/thailand/insights/adapting-for-a-sustainable-future" TargetMode="External"/><Relationship Id="rId63"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