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40" w:lineRule="auto" w:before="0" w:after="0"/>
        <w:jc w:val="left"/>
      </w:pPr>
    </w:p>
    <w:p>
      <w:pPr>
        <w:spacing w:line="240" w:lineRule="auto" w:before="0" w:after="0"/>
        <w:jc w:val="left"/>
      </w:pPr>
    </w:p>
    <w:p>
      <w:pPr>
        <w:spacing w:line="240" w:lineRule="auto" w:before="0" w:after="120"/>
        <w:jc w:val="center"/>
      </w:pPr>
      <w:r>
        <w:rPr>
          <w:rFonts w:ascii="TH Sarabun New" w:hAnsi="TH Sarabun New" w:cs="TH Sarabun New" w:eastAsia="TH Sarabun New"/>
          <w:b/>
          <w:i w:val="0"/>
          <w:sz w:val="64"/>
          <w:szCs w:val="64"/>
        </w:rPr>
        <w:t>MOT Mobility</w:t>
      </w:r>
    </w:p>
    <w:p>
      <w:pPr>
        <w:spacing w:line="288" w:lineRule="auto" w:before="0" w:after="320"/>
        <w:jc w:val="center"/>
      </w:pPr>
      <w:r>
        <w:rPr>
          <w:rFonts w:ascii="TH Sarabun New" w:hAnsi="TH Sarabun New" w:cs="TH Sarabun New" w:eastAsia="TH Sarabun New"/>
          <w:b/>
          <w:i w:val="0"/>
          <w:sz w:val="44"/>
          <w:szCs w:val="44"/>
        </w:rPr>
        <w:t>บูรณาการคมนาคม นำร่อง "สมุทรปราการ"</w:t>
      </w:r>
    </w:p>
    <w:p>
      <w:pPr>
        <w:spacing w:line="240" w:lineRule="auto" w:before="0" w:after="40"/>
        <w:jc w:val="center"/>
      </w:pPr>
      <w:r>
        <w:rPr>
          <w:rFonts w:ascii="TH Sarabun New" w:hAnsi="TH Sarabun New" w:cs="TH Sarabun New" w:eastAsia="TH Sarabun New"/>
          <w:b w:val="0"/>
          <w:i/>
          <w:sz w:val="36"/>
          <w:szCs w:val="36"/>
        </w:rPr>
        <w:t>Mobility-as-a-Service Integration Roadmap:</w:t>
      </w:r>
    </w:p>
    <w:p>
      <w:pPr>
        <w:spacing w:line="240" w:lineRule="auto" w:before="0" w:after="960"/>
        <w:jc w:val="center"/>
      </w:pPr>
      <w:r>
        <w:rPr>
          <w:rFonts w:ascii="TH Sarabun New" w:hAnsi="TH Sarabun New" w:cs="TH Sarabun New" w:eastAsia="TH Sarabun New"/>
          <w:b w:val="0"/>
          <w:i/>
          <w:sz w:val="36"/>
          <w:szCs w:val="36"/>
        </w:rPr>
        <w:t>A Pilot Study in Samut Prakan Province</w:t>
      </w:r>
    </w:p>
    <w:p>
      <w:pPr>
        <w:spacing w:line="240" w:lineRule="auto" w:before="0" w:after="0"/>
        <w:jc w:val="left"/>
      </w:pPr>
    </w:p>
    <w:p>
      <w:pPr>
        <w:spacing w:line="240" w:lineRule="auto" w:before="0" w:after="0"/>
        <w:jc w:val="left"/>
      </w:pPr>
    </w:p>
    <w:p>
      <w:pPr>
        <w:spacing w:line="240" w:lineRule="auto" w:before="0" w:after="0"/>
        <w:jc w:val="left"/>
      </w:pPr>
    </w:p>
    <w:p>
      <w:pPr>
        <w:spacing w:line="240" w:lineRule="auto" w:before="0" w:after="0"/>
        <w:jc w:val="left"/>
      </w:pPr>
    </w:p>
    <w:p>
      <w:pPr>
        <w:spacing w:line="240" w:lineRule="auto" w:before="0" w:after="160"/>
        <w:jc w:val="center"/>
      </w:pPr>
      <w:r>
        <w:rPr>
          <w:rFonts w:ascii="TH Sarabun New" w:hAnsi="TH Sarabun New" w:cs="TH Sarabun New" w:eastAsia="TH Sarabun New"/>
          <w:b w:val="0"/>
          <w:i w:val="0"/>
          <w:sz w:val="36"/>
          <w:szCs w:val="36"/>
        </w:rPr>
        <w:t>โดย</w:t>
      </w:r>
    </w:p>
    <w:p>
      <w:pPr>
        <w:spacing w:line="240" w:lineRule="auto" w:before="0" w:after="120"/>
        <w:jc w:val="center"/>
      </w:pPr>
      <w:r>
        <w:rPr>
          <w:rFonts w:ascii="TH Sarabun New" w:hAnsi="TH Sarabun New" w:cs="TH Sarabun New" w:eastAsia="TH Sarabun New"/>
          <w:b/>
          <w:i w:val="0"/>
          <w:sz w:val="36"/>
          <w:szCs w:val="36"/>
        </w:rPr>
        <w:t>คณะผู้จัดทำ</w:t>
      </w:r>
    </w:p>
    <w:p>
      <w:pPr>
        <w:spacing w:line="240" w:lineRule="auto" w:before="0" w:after="360"/>
        <w:jc w:val="center"/>
      </w:pPr>
      <w:r>
        <w:rPr>
          <w:rFonts w:ascii="TH Sarabun New" w:hAnsi="TH Sarabun New" w:cs="TH Sarabun New" w:eastAsia="TH Sarabun New"/>
          <w:b w:val="0"/>
          <w:i w:val="0"/>
          <w:sz w:val="36"/>
          <w:szCs w:val="36"/>
        </w:rPr>
        <w:t>กลุ่ม นบส.คค. รุ่นที่ ๘</w:t>
      </w:r>
    </w:p>
    <w:p>
      <w:pPr>
        <w:spacing w:line="240" w:lineRule="auto" w:before="0" w:after="0"/>
        <w:jc w:val="left"/>
      </w:pPr>
    </w:p>
    <w:p>
      <w:pPr>
        <w:spacing w:line="240" w:lineRule="auto" w:before="0" w:after="0"/>
        <w:jc w:val="left"/>
      </w:pPr>
    </w:p>
    <w:p>
      <w:pPr>
        <w:spacing w:line="240" w:lineRule="auto" w:before="0" w:after="120"/>
        <w:jc w:val="center"/>
      </w:pPr>
      <w:r>
        <w:rPr>
          <w:rFonts w:ascii="TH Sarabun New" w:hAnsi="TH Sarabun New" w:cs="TH Sarabun New" w:eastAsia="TH Sarabun New"/>
          <w:b w:val="0"/>
          <w:i w:val="0"/>
          <w:sz w:val="36"/>
          <w:szCs w:val="36"/>
        </w:rPr>
        <w:t>เสนอ</w:t>
      </w:r>
    </w:p>
    <w:p>
      <w:pPr>
        <w:spacing w:line="240" w:lineRule="auto" w:before="0" w:after="360"/>
        <w:jc w:val="center"/>
      </w:pPr>
      <w:r>
        <w:rPr>
          <w:rFonts w:ascii="TH Sarabun New" w:hAnsi="TH Sarabun New" w:cs="TH Sarabun New" w:eastAsia="TH Sarabun New"/>
          <w:b/>
          <w:i w:val="0"/>
          <w:sz w:val="36"/>
          <w:szCs w:val="36"/>
        </w:rPr>
        <w:t>กระทรวงคมนาคม</w:t>
      </w:r>
    </w:p>
    <w:p>
      <w:pPr>
        <w:spacing w:line="240" w:lineRule="auto" w:before="0" w:after="0"/>
        <w:jc w:val="center"/>
      </w:pPr>
      <w:r>
        <w:rPr>
          <w:rFonts w:ascii="TH Sarabun New" w:hAnsi="TH Sarabun New" w:cs="TH Sarabun New" w:eastAsia="TH Sarabun New"/>
          <w:b w:val="0"/>
          <w:i w:val="0"/>
          <w:sz w:val="36"/>
          <w:szCs w:val="36"/>
        </w:rPr>
        <w:t>พุทธศักราช ๒๕๖๙</w:t>
      </w:r>
    </w:p>
    <w:p>
      <w:r>
        <w:br w:type="page"/>
      </w:r>
    </w:p>
    <w:p>
      <w:pPr>
        <w:spacing w:line="240" w:lineRule="auto" w:before="0" w:after="480"/>
        <w:jc w:val="center"/>
      </w:pPr>
      <w:r>
        <w:rPr>
          <w:rFonts w:ascii="TH Sarabun New" w:hAnsi="TH Sarabun New" w:cs="TH Sarabun New" w:eastAsia="TH Sarabun New"/>
          <w:b/>
          <w:i w:val="0"/>
          <w:sz w:val="40"/>
          <w:szCs w:val="40"/>
        </w:rPr>
        <w:t>คำนำ</w:t>
      </w:r>
    </w:p>
    <w:p>
      <w:pPr>
        <w:spacing w:line="240" w:lineRule="auto" w:after="0"/>
        <w:ind w:firstLine="720"/>
        <w:jc w:val="both"/>
      </w:pPr>
      <w:r>
        <w:rPr>
          <w:rFonts w:ascii="TH Sarabun New" w:hAnsi="TH Sarabun New" w:cs="TH Sarabun New" w:eastAsia="TH Sarabun New"/>
          <w:b w:val="0"/>
          <w:i w:val="0"/>
          <w:sz w:val="32"/>
          <w:szCs w:val="32"/>
        </w:rPr>
        <w:t>รายงานทางวิชาการฉบับนี้ จัดทำขึ้นโดยคณะผู้จัดทำ กลุ่มหลักสูตรนักบริหารระดับสูง กระทรวงคมนาคม (นบส.คค.) รุ่นที่ ๘ ในฐานะส่วนหนึ่งของการศึกษาเชิงนโยบายเพื่อเสนอแนะ แนวทางการพัฒนาระบบขนส่งสาธารณะในเขตเมืองของประเทศไทย ภายใต้กรอบแนวคิด "MOT Mobility · บูรณาการคมนาคมเพื่อเมืองยุคใหม่"</w:t>
      </w:r>
    </w:p>
    <w:p>
      <w:pPr>
        <w:spacing w:line="240" w:lineRule="auto" w:after="0"/>
        <w:ind w:firstLine="720"/>
        <w:jc w:val="both"/>
      </w:pPr>
      <w:r>
        <w:rPr>
          <w:rFonts w:ascii="TH Sarabun New" w:hAnsi="TH Sarabun New" w:cs="TH Sarabun New" w:eastAsia="TH Sarabun New"/>
          <w:b w:val="0"/>
          <w:i w:val="0"/>
          <w:sz w:val="32"/>
          <w:szCs w:val="32"/>
        </w:rPr>
        <w:t>การจัดทำรายงานนี้มีวัตถุประสงค์เพื่อนำเสนอแนวทางการแก้ปัญหาการจราจรในเขตเมือง ผ่านการดำเนินงาน ๔ เสาหลักไปพร้อมกัน อันได้แก่ ระบบตั๋วร่วม (Common Ticketing) แอปพลิเคชัน MaaS โครงสร้างพื้นฐานสำหรับคนเดิน (Complete Streets) และมาตรการทางภาษีและเศรษฐศาสตร์ โดยเสนอให้ใช้จังหวัดสมุทรปราการเป็นพื้นที่นำร่อง ก่อนขยายผลไปยังจังหวัดอื่นๆ ทั่วประเทศ</w:t>
      </w:r>
    </w:p>
    <w:p>
      <w:pPr>
        <w:spacing w:line="240" w:lineRule="auto" w:after="0"/>
        <w:ind w:firstLine="720"/>
        <w:jc w:val="both"/>
      </w:pPr>
      <w:r>
        <w:rPr>
          <w:rFonts w:ascii="TH Sarabun New" w:hAnsi="TH Sarabun New" w:cs="TH Sarabun New" w:eastAsia="TH Sarabun New"/>
          <w:b w:val="0"/>
          <w:i w:val="0"/>
          <w:sz w:val="32"/>
          <w:szCs w:val="32"/>
        </w:rPr>
        <w:t>คณะผู้จัดทำได้ดำเนินการศึกษาด้วยวิธีวิเคราะห์ SWOT และ PESTEL ร่วมกับการทบทวน กรณีศึกษาที่ประสบความสำเร็จและไม่ประสบความสำเร็จในต่างประเทศ ตลอดจนการวิเคราะห์ งบประมาณและอัตราส่วนผลตอบแทนต่อต้นทุน (Benefit-Cost Ratio) เพื่อให้รายงานฉบับนี้ มีความน่าเชื่อถือและสามารถนำไปใช้เป็นข้อมูลประกอบการตัดสินใจเชิงนโยบายได้</w:t>
      </w:r>
    </w:p>
    <w:p>
      <w:pPr>
        <w:spacing w:line="240" w:lineRule="auto" w:after="0"/>
        <w:ind w:firstLine="720"/>
        <w:jc w:val="both"/>
      </w:pPr>
      <w:r>
        <w:rPr>
          <w:rFonts w:ascii="TH Sarabun New" w:hAnsi="TH Sarabun New" w:cs="TH Sarabun New" w:eastAsia="TH Sarabun New"/>
          <w:b w:val="0"/>
          <w:i w:val="0"/>
          <w:sz w:val="32"/>
          <w:szCs w:val="32"/>
        </w:rPr>
        <w:t>คณะผู้จัดทำหวังเป็นอย่างยิ่งว่ารายงานฉบับนี้จะเป็นประโยชน์ต่อกระทรวงคมนาคม หน่วยงานที่เกี่ยวข้อง และผู้สนใจในการพัฒนาระบบขนส่งสาธารณะของประเทศไทย หากมีข้อบกพร่องประการใด คณะผู้จัดทำขออภัยและน้อมรับฟังข้อเสนอแนะเพื่อปรับปรุงต่อไป</w:t>
      </w:r>
    </w:p>
    <w:p>
      <w:pPr>
        <w:spacing w:line="240" w:lineRule="auto" w:before="0" w:after="0"/>
        <w:jc w:val="left"/>
      </w:pPr>
    </w:p>
    <w:p>
      <w:pPr>
        <w:spacing w:line="240" w:lineRule="auto" w:before="0" w:after="0"/>
        <w:jc w:val="left"/>
      </w:pPr>
    </w:p>
    <w:p>
      <w:pPr>
        <w:spacing w:line="240" w:lineRule="auto" w:before="0" w:after="80"/>
        <w:jc w:val="right"/>
      </w:pPr>
      <w:r>
        <w:rPr>
          <w:rFonts w:ascii="TH Sarabun New" w:hAnsi="TH Sarabun New" w:cs="TH Sarabun New" w:eastAsia="TH Sarabun New"/>
          <w:b/>
          <w:i w:val="0"/>
          <w:sz w:val="32"/>
          <w:szCs w:val="32"/>
        </w:rPr>
        <w:t>คณะผู้จัดทำ</w:t>
      </w:r>
    </w:p>
    <w:p>
      <w:pPr>
        <w:spacing w:line="240" w:lineRule="auto" w:before="0" w:after="80"/>
        <w:jc w:val="right"/>
      </w:pPr>
      <w:r>
        <w:rPr>
          <w:rFonts w:ascii="TH Sarabun New" w:hAnsi="TH Sarabun New" w:cs="TH Sarabun New" w:eastAsia="TH Sarabun New"/>
          <w:b w:val="0"/>
          <w:i w:val="0"/>
          <w:sz w:val="32"/>
          <w:szCs w:val="32"/>
        </w:rPr>
        <w:t>กลุ่ม นบส.คค. รุ่นที่ ๘</w:t>
      </w:r>
    </w:p>
    <w:p>
      <w:pPr>
        <w:spacing w:line="240" w:lineRule="auto" w:before="0" w:after="0"/>
        <w:jc w:val="right"/>
      </w:pPr>
      <w:r>
        <w:rPr>
          <w:rFonts w:ascii="TH Sarabun New" w:hAnsi="TH Sarabun New" w:cs="TH Sarabun New" w:eastAsia="TH Sarabun New"/>
          <w:b w:val="0"/>
          <w:i w:val="0"/>
          <w:sz w:val="32"/>
          <w:szCs w:val="32"/>
        </w:rPr>
        <w:t>พุทธศักราช ๒๕๖๙</w:t>
      </w:r>
    </w:p>
    <w:p>
      <w:r>
        <w:br w:type="page"/>
      </w:r>
    </w:p>
    <w:p>
      <w:pPr>
        <w:spacing w:line="240" w:lineRule="auto" w:before="0" w:after="480"/>
        <w:jc w:val="center"/>
      </w:pPr>
      <w:r>
        <w:rPr>
          <w:rFonts w:ascii="TH Sarabun New" w:hAnsi="TH Sarabun New" w:cs="TH Sarabun New" w:eastAsia="TH Sarabun New"/>
          <w:b/>
          <w:i w:val="0"/>
          <w:sz w:val="40"/>
          <w:szCs w:val="40"/>
        </w:rPr>
        <w:t>กิตติกรรมประกาศ</w:t>
      </w:r>
    </w:p>
    <w:p>
      <w:pPr>
        <w:spacing w:line="240" w:lineRule="auto" w:after="0"/>
        <w:ind w:firstLine="720"/>
        <w:jc w:val="both"/>
      </w:pPr>
      <w:r>
        <w:rPr>
          <w:rFonts w:ascii="TH Sarabun New" w:hAnsi="TH Sarabun New" w:cs="TH Sarabun New" w:eastAsia="TH Sarabun New"/>
          <w:b w:val="0"/>
          <w:i w:val="0"/>
          <w:sz w:val="32"/>
          <w:szCs w:val="32"/>
        </w:rPr>
        <w:t>รายงานทางวิชาการเรื่อง "MOT Mobility · บูรณาการคมนาคมเพื่อเมืองยุคใหม่ นำร่องสมุทรปราการ" ฉบับนี้ สำเร็จลุล่วงไปได้ด้วยความกรุณาและการสนับสนุน จากบุคคลและหน่วยงานหลายฝ่าย คณะผู้จัดทำขอแสดงความขอบคุณดังนี้</w:t>
      </w:r>
    </w:p>
    <w:p>
      <w:pPr>
        <w:spacing w:line="240" w:lineRule="auto" w:after="0"/>
        <w:ind w:firstLine="720"/>
        <w:jc w:val="both"/>
      </w:pPr>
      <w:r>
        <w:rPr>
          <w:rFonts w:ascii="TH Sarabun New" w:hAnsi="TH Sarabun New" w:cs="TH Sarabun New" w:eastAsia="TH Sarabun New"/>
          <w:b w:val="0"/>
          <w:i w:val="0"/>
          <w:sz w:val="32"/>
          <w:szCs w:val="32"/>
        </w:rPr>
        <w:t>ขอขอบคุณคณาจารย์และผู้ทรงคุณวุฒิในหลักสูตรนักบริหารระดับสูง กระทรวงคมนาคม (นบส.คค.) รุ่นที่ ๘ ที่ได้ให้คำแนะนำ ชี้แนะแนวทาง และให้ข้อเสนอแนะอันมีค่ายิ่ง ตลอดระยะเวลาของการศึกษา</w:t>
      </w:r>
    </w:p>
    <w:p>
      <w:pPr>
        <w:spacing w:line="240" w:lineRule="auto" w:after="0"/>
        <w:ind w:firstLine="720"/>
        <w:jc w:val="both"/>
      </w:pPr>
      <w:r>
        <w:rPr>
          <w:rFonts w:ascii="TH Sarabun New" w:hAnsi="TH Sarabun New" w:cs="TH Sarabun New" w:eastAsia="TH Sarabun New"/>
          <w:b w:val="0"/>
          <w:i w:val="0"/>
          <w:sz w:val="32"/>
          <w:szCs w:val="32"/>
        </w:rPr>
        <w:t>ขอขอบคุณผู้บริหารและเจ้าหน้าที่ของกระทรวงคมนาคม สำนักงานนโยบายและแผน การขนส่งและจราจร (สนข.) การรถไฟฟ้าขนส่งมวลชนแห่งประเทศไทย (รฟม.) การรถไฟแห่งประเทศไทย (รฟท.) กรมการขนส่งทางบก องค์การขนส่งมวลชนกรุงเทพ (ขสมก.) องค์การบริหารส่วนจังหวัดสมุทรปราการ และหน่วยงานอื่นๆ ที่เกี่ยวข้อง ที่ได้ให้ข้อมูลและให้ความร่วมมือในการศึกษา</w:t>
      </w:r>
    </w:p>
    <w:p>
      <w:pPr>
        <w:spacing w:line="240" w:lineRule="auto" w:after="0"/>
        <w:ind w:firstLine="720"/>
        <w:jc w:val="both"/>
      </w:pPr>
      <w:r>
        <w:rPr>
          <w:rFonts w:ascii="TH Sarabun New" w:hAnsi="TH Sarabun New" w:cs="TH Sarabun New" w:eastAsia="TH Sarabun New"/>
          <w:b w:val="0"/>
          <w:i w:val="0"/>
          <w:sz w:val="32"/>
          <w:szCs w:val="32"/>
        </w:rPr>
        <w:t>ขอขอบคุณบริษัทเอกชนและผู้ให้บริการระบบขนส่ง อาทิ บริษัท ระบบขนส่งมวลชนกรุงเทพ จำกัด (มหาชน) (BTSC) บริษัท เอเชีย เอรา วัน จำกัด ผู้ให้บริการ ARL ผู้ประกอบการเรือ และผู้ประกอบการในนิคมอุตสาหกรรมบางปูและบางพลี ที่ได้แบ่งปันมุมมองและข้อมูลเชิงปฏิบัติ</w:t>
      </w:r>
    </w:p>
    <w:p>
      <w:pPr>
        <w:spacing w:line="240" w:lineRule="auto" w:after="0"/>
        <w:ind w:firstLine="720"/>
        <w:jc w:val="both"/>
      </w:pPr>
      <w:r>
        <w:rPr>
          <w:rFonts w:ascii="TH Sarabun New" w:hAnsi="TH Sarabun New" w:cs="TH Sarabun New" w:eastAsia="TH Sarabun New"/>
          <w:b w:val="0"/>
          <w:i w:val="0"/>
          <w:sz w:val="32"/>
          <w:szCs w:val="32"/>
        </w:rPr>
        <w:t>สุดท้ายนี้ คณะผู้จัดทำขอขอบคุณครอบครัวและเพื่อนร่วมงานของสมาชิกทุกท่าน ที่ให้กำลังใจและสนับสนุนตลอดการจัดทำรายงานฉบับนี้</w:t>
      </w:r>
    </w:p>
    <w:p>
      <w:pPr>
        <w:spacing w:line="240" w:lineRule="auto" w:before="0" w:after="0"/>
        <w:jc w:val="left"/>
      </w:pPr>
    </w:p>
    <w:p>
      <w:pPr>
        <w:spacing w:line="240" w:lineRule="auto" w:before="0" w:after="0"/>
        <w:jc w:val="right"/>
      </w:pPr>
      <w:r>
        <w:rPr>
          <w:rFonts w:ascii="TH Sarabun New" w:hAnsi="TH Sarabun New" w:cs="TH Sarabun New" w:eastAsia="TH Sarabun New"/>
          <w:b/>
          <w:i w:val="0"/>
          <w:sz w:val="32"/>
          <w:szCs w:val="32"/>
        </w:rPr>
        <w:t>คณะผู้จัดทำ</w:t>
      </w:r>
    </w:p>
    <w:p>
      <w:r>
        <w:br w:type="page"/>
      </w:r>
    </w:p>
    <w:p>
      <w:pPr>
        <w:spacing w:line="240" w:lineRule="auto" w:before="0" w:after="480"/>
        <w:jc w:val="center"/>
      </w:pPr>
      <w:r>
        <w:rPr>
          <w:rFonts w:ascii="TH Sarabun New" w:hAnsi="TH Sarabun New" w:cs="TH Sarabun New" w:eastAsia="TH Sarabun New"/>
          <w:b/>
          <w:i w:val="0"/>
          <w:sz w:val="40"/>
          <w:szCs w:val="40"/>
        </w:rPr>
        <w:t>บทคัดย่อ</w:t>
      </w:r>
    </w:p>
    <w:p>
      <w:pPr>
        <w:spacing w:line="240" w:lineRule="auto" w:after="0"/>
        <w:ind w:firstLine="720"/>
        <w:jc w:val="both"/>
      </w:pPr>
      <w:r>
        <w:rPr>
          <w:rFonts w:ascii="TH Sarabun New" w:hAnsi="TH Sarabun New" w:cs="TH Sarabun New" w:eastAsia="TH Sarabun New"/>
          <w:b w:val="0"/>
          <w:i w:val="0"/>
          <w:sz w:val="32"/>
          <w:szCs w:val="32"/>
        </w:rPr>
        <w:t>รายงานวิชาการฉบับนี้นำเสนอกรอบแนวคิด "MOT Mobility · บูรณาการคมนาคมเพื่อเมืองยุคใหม่" ซึ่งเป็นข้อเสนอเชิงนโยบายเพื่อแก้ปัญหาการจราจรในเขตเมือง ของประเทศไทย ผ่านการดำเนินงาน ๔ เสาหลักไปพร้อมกัน ได้แก่ (๑) ระบบตั๋วร่วม (Common Ticketing) (๒) แอปพลิเคชัน MaaS (Mobility-as-a-Service) (๓) โครงสร้างพื้นฐานสำหรับคนเดิน (Complete Streets) และ (๔) มาตรการทางภาษี และเศรษฐศาสตร์ โดยเสนอให้ใช้จังหวัดสมุทรปราการเป็นพื้นที่นำร่องระยะ ๓ ปี (พ.ศ. ๒๕๗๐-๒๕๗๒) ก่อนขยายผลทั่วประเทศภายในปี พ.ศ. ๒๕๗๖</w:t>
      </w:r>
    </w:p>
    <w:p>
      <w:pPr>
        <w:spacing w:line="240" w:lineRule="auto" w:after="0"/>
        <w:ind w:firstLine="720"/>
        <w:jc w:val="both"/>
      </w:pPr>
      <w:r>
        <w:rPr>
          <w:rFonts w:ascii="TH Sarabun New" w:hAnsi="TH Sarabun New" w:cs="TH Sarabun New" w:eastAsia="TH Sarabun New"/>
          <w:b w:val="0"/>
          <w:i w:val="0"/>
          <w:sz w:val="32"/>
          <w:szCs w:val="32"/>
        </w:rPr>
        <w:t>การศึกษาใช้วิธีการวิเคราะห์ SWOT และ PESTEL ต่อสภาพแวดล้อมการขนส่งของไทย ร่วมกับการทบทวนกรณีศึกษาในต่างประเทศ ได้แก่ Berlin Jelbi, Vienna WienMobil, London TfL, Singapore SimplyGo และบทเรียนความล้มเหลวของ Whim Helsinki ผลการวิเคราะห์พบว่า พระราชบัญญัติระบบตั๋วร่วม พ.ศ. ๒๕๖๘ เป็นเครื่องมือทางกฎหมายที่พร้อมรองรับการเปลี่ยนแปลง และจังหวัดสมุทรปราการมีลักษณะเหมาะสมที่สุดสำหรับการนำร่อง เนื่องจากมีโครงข่ายระบบขนส่งครบทุกประเภท มีนิคมอุตสาหกรรมขนาดใหญ่ และอยู่ใกล้กระทรวงคมนาคม</w:t>
      </w:r>
    </w:p>
    <w:p>
      <w:pPr>
        <w:spacing w:line="240" w:lineRule="auto" w:after="0"/>
        <w:ind w:firstLine="720"/>
        <w:jc w:val="both"/>
      </w:pPr>
      <w:r>
        <w:rPr>
          <w:rFonts w:ascii="TH Sarabun New" w:hAnsi="TH Sarabun New" w:cs="TH Sarabun New" w:eastAsia="TH Sarabun New"/>
          <w:b w:val="0"/>
          <w:i w:val="0"/>
          <w:sz w:val="32"/>
          <w:szCs w:val="32"/>
        </w:rPr>
        <w:t>งบประมาณรวมตลอด ๑๐ ปี ประมาณการอยู่ที่ ๑๒,๐๐๐ ล้านบาท (กรณีค่ากลาง) คิดเป็นเพียงร้อยละ ๐.๕ ของงบประมาณกระทรวงคมนาคม ๑๐ ปี ขณะที่รายได้คาดการณ์ จากมาตรการภาษีรถแบบ Zone-based, Workplace Parking Levy, ERP และ Versement Mobilité รวมประมาณ ๒๗,๐๐๐-๔๒,๐๐๐ ล้านบาทต่อปี ส่งผลให้อัตราส่วนผลตอบแทนต่อต้นทุน (Benefit-Cost Ratio) อยู่ในระดับ ๘-๑๒ เท่า ภายใต้สมมุติฐานที่กำหนด รายงานนำเสนอข้อเสนอแนะ ๗ ประการที่สามารถดำเนินการได้ทันที โดยเน้นการเริ่มต้นที่จังหวัดสมุทรปราการในปี พ.ศ. ๒๕๗๐ และขยายผลทั่วประเทศภายในปี พ.ศ. ๒๕๗๖</w:t>
      </w:r>
    </w:p>
    <w:p>
      <w:pPr>
        <w:spacing w:line="240" w:lineRule="auto" w:before="0" w:after="0"/>
        <w:jc w:val="left"/>
      </w:pPr>
    </w:p>
    <w:p>
      <w:pPr>
        <w:spacing w:line="240" w:lineRule="auto"/>
        <w:ind w:firstLine="720"/>
        <w:jc w:val="both"/>
      </w:pPr>
      <w:r>
        <w:rPr>
          <w:rFonts w:ascii="TH Sarabun New" w:hAnsi="TH Sarabun New" w:cs="TH Sarabun New" w:eastAsia="TH Sarabun New"/>
          <w:b/>
          <w:i w:val="0"/>
          <w:sz w:val="32"/>
          <w:szCs w:val="32"/>
        </w:rPr>
        <w:t xml:space="preserve">คำสำคัญ: </w:t>
      </w:r>
      <w:r>
        <w:rPr>
          <w:rFonts w:ascii="TH Sarabun New" w:hAnsi="TH Sarabun New" w:cs="TH Sarabun New" w:eastAsia="TH Sarabun New"/>
          <w:b w:val="0"/>
          <w:i w:val="0"/>
          <w:sz w:val="32"/>
          <w:szCs w:val="32"/>
        </w:rPr>
        <w:t>Mobility-as-a-Service, ระบบตั๋วร่วม, Complete Streets, จังหวัดสมุทรปราการ, มาตรการภาษีการขนส่ง, พระราชบัญญัติระบบตั๋วร่วม พ.ศ. ๒๕๖๘, อัตราส่วนผลตอบแทนต่อต้นทุน, แบบจำลอง Public-led</w:t>
      </w:r>
    </w:p>
    <w:p>
      <w:r>
        <w:br w:type="page"/>
      </w:r>
    </w:p>
    <w:p>
      <w:pPr>
        <w:spacing w:line="240" w:lineRule="auto" w:before="0" w:after="480"/>
        <w:jc w:val="center"/>
      </w:pPr>
      <w:r>
        <w:rPr>
          <w:rFonts w:ascii="TH Sarabun New" w:hAnsi="TH Sarabun New" w:cs="TH Sarabun New" w:eastAsia="TH Sarabun New"/>
          <w:b/>
          <w:i w:val="0"/>
          <w:sz w:val="40"/>
          <w:szCs w:val="40"/>
        </w:rPr>
        <w:t>ABSTRACT</w:t>
      </w:r>
    </w:p>
    <w:p>
      <w:pPr>
        <w:spacing w:line="240" w:lineRule="auto" w:after="0"/>
        <w:ind w:firstLine="720"/>
        <w:jc w:val="both"/>
      </w:pPr>
      <w:r>
        <w:rPr>
          <w:rFonts w:ascii="TH Sarabun New" w:hAnsi="TH Sarabun New" w:cs="TH Sarabun New" w:eastAsia="TH Sarabun New"/>
          <w:b w:val="0"/>
          <w:i w:val="0"/>
          <w:sz w:val="32"/>
          <w:szCs w:val="32"/>
        </w:rPr>
        <w:t>This academic report presents the "MOT Mobility" framework, a policy proposal aimed at addressing urban mobility challenges in Thailand through an integrated four-pillar approach: (๑) Common Ticketing, (๒) Mobility-as-a-Service (MaaS) Application, (๓) Complete Streets infrastructure, and (๔) Tax-based behavioral measures. Samut Prakan Province is proposed as the pilot area for a three-year demonstration (B.E. 2570-2572), prior to nationwide expansion by B.E. 2576.</w:t>
      </w:r>
    </w:p>
    <w:p>
      <w:pPr>
        <w:spacing w:line="240" w:lineRule="auto" w:after="0"/>
        <w:ind w:firstLine="720"/>
        <w:jc w:val="both"/>
      </w:pPr>
      <w:r>
        <w:rPr>
          <w:rFonts w:ascii="TH Sarabun New" w:hAnsi="TH Sarabun New" w:cs="TH Sarabun New" w:eastAsia="TH Sarabun New"/>
          <w:b w:val="0"/>
          <w:i w:val="0"/>
          <w:sz w:val="32"/>
          <w:szCs w:val="32"/>
        </w:rPr>
        <w:t>The study employs SWOT and PESTEL analyses of Thailand's transportation context, alongside benchmarking against international case studies — including Berlin Jelbi, Vienna WienMobil, London TfL, Singapore SimplyGo, and the failure of Whim Helsinki. Findings indicate that the Common Ticketing Act B.E. 2568 provides a robust legal framework, and Samut Prakan offers the most suitable pilot conditions due to its complete multi-modal transit network (BTS, MRT Yellow, ARL, SRT Eastern), major industrial estates, and proximity to the Ministry of Transport.</w:t>
      </w:r>
    </w:p>
    <w:p>
      <w:pPr>
        <w:spacing w:line="240" w:lineRule="auto" w:after="0"/>
        <w:ind w:firstLine="720"/>
        <w:jc w:val="both"/>
      </w:pPr>
      <w:r>
        <w:rPr>
          <w:rFonts w:ascii="TH Sarabun New" w:hAnsi="TH Sarabun New" w:cs="TH Sarabun New" w:eastAsia="TH Sarabun New"/>
          <w:b w:val="0"/>
          <w:i w:val="0"/>
          <w:sz w:val="32"/>
          <w:szCs w:val="32"/>
        </w:rPr>
        <w:t>The total ten-year budget is estimated at ๑๒,๐๐๐ million THB (medium scenario), representing only ๐.๕% of the Ministry's decadal budget. Projected revenues from zone-based vehicle taxation, Workplace Parking Levy, Electronic Road Pricing, and Versement Mobilité amount to ๒๗,๐๐๐-๔๒,๐๐๐ million THB annually, yielding a Benefit-Cost Ratio of ๘-๑๒× under the assumed conditions. The report concludes with seven actionable recommendations centered on Samut Prakan as the starting point, with full national rollout by B.E. 2576.</w:t>
      </w:r>
    </w:p>
    <w:p>
      <w:pPr>
        <w:spacing w:line="240" w:lineRule="auto" w:before="0" w:after="0"/>
        <w:jc w:val="left"/>
      </w:pPr>
    </w:p>
    <w:p>
      <w:pPr>
        <w:spacing w:line="240" w:lineRule="auto"/>
        <w:ind w:firstLine="720"/>
        <w:jc w:val="both"/>
      </w:pPr>
      <w:r>
        <w:rPr>
          <w:rFonts w:ascii="TH Sarabun New" w:hAnsi="TH Sarabun New" w:cs="TH Sarabun New" w:eastAsia="TH Sarabun New"/>
          <w:b/>
          <w:i w:val="0"/>
          <w:sz w:val="32"/>
          <w:szCs w:val="32"/>
        </w:rPr>
        <w:t xml:space="preserve">Keywords: </w:t>
      </w:r>
      <w:r>
        <w:rPr>
          <w:rFonts w:ascii="TH Sarabun New" w:hAnsi="TH Sarabun New" w:cs="TH Sarabun New" w:eastAsia="TH Sarabun New"/>
          <w:b w:val="0"/>
          <w:i w:val="0"/>
          <w:sz w:val="32"/>
          <w:szCs w:val="32"/>
        </w:rPr>
        <w:t>Mobility-as-a-Service, Common Ticketing, Complete Streets, Samut Prakan Province, Transport Tax Measures, Common Ticketing Act B.E. 2568, Benefit-Cost Ratio, Public-led Model</w:t>
      </w:r>
    </w:p>
    <w:p>
      <w:r>
        <w:br w:type="page"/>
      </w:r>
    </w:p>
    <w:p>
      <w:pPr>
        <w:spacing w:line="240" w:lineRule="auto" w:before="0" w:after="480"/>
        <w:jc w:val="center"/>
      </w:pPr>
      <w:r>
        <w:rPr>
          <w:rFonts w:ascii="TH Sarabun New" w:hAnsi="TH Sarabun New" w:cs="TH Sarabun New" w:eastAsia="TH Sarabun New"/>
          <w:b/>
          <w:i w:val="0"/>
          <w:sz w:val="40"/>
          <w:szCs w:val="40"/>
        </w:rPr>
        <w:t>สารบัญ</w:t>
      </w:r>
    </w:p>
    <w:p>
      <w:pPr>
        <w:tabs>
          <w:tab w:pos="8220" w:val="right"/>
        </w:tabs>
        <w:spacing w:line="240" w:lineRule="auto" w:after="160"/>
      </w:pPr>
      <w:r>
        <w:rPr>
          <w:rFonts w:ascii="TH Sarabun New" w:hAnsi="TH Sarabun New" w:cs="TH Sarabun New" w:eastAsia="TH Sarabun New"/>
          <w:b/>
          <w:i w:val="0"/>
          <w:sz w:val="32"/>
          <w:szCs w:val="32"/>
        </w:rPr>
        <w:t>เรื่อง</w:t>
      </w:r>
      <w:r>
        <w:rPr>
          <w:rFonts w:ascii="TH Sarabun New" w:hAnsi="TH Sarabun New" w:cs="TH Sarabun New" w:eastAsia="TH Sarabun New"/>
          <w:b/>
          <w:i w:val="0"/>
          <w:sz w:val="32"/>
          <w:szCs w:val="32"/>
        </w:rPr>
        <w:tab/>
        <w:t>หน้า</w:t>
      </w:r>
    </w:p>
    <w:p>
      <w:pPr>
        <w:tabs>
          <w:tab w:pos="8220" w:val="right" w:leader="hyphen"/>
        </w:tabs>
        <w:spacing w:line="240" w:lineRule="auto" w:after="40"/>
      </w:pPr>
      <w:r>
        <w:rPr>
          <w:rFonts w:ascii="TH Sarabun New" w:hAnsi="TH Sarabun New" w:cs="TH Sarabun New" w:eastAsia="TH Sarabun New"/>
          <w:b w:val="0"/>
          <w:i w:val="0"/>
          <w:sz w:val="32"/>
          <w:szCs w:val="32"/>
        </w:rPr>
        <w:t>คำนำ</w:t>
      </w:r>
      <w:r>
        <w:rPr>
          <w:rFonts w:ascii="TH Sarabun New" w:hAnsi="TH Sarabun New" w:cs="TH Sarabun New" w:eastAsia="TH Sarabun New"/>
          <w:b w:val="0"/>
          <w:i w:val="0"/>
          <w:sz w:val="32"/>
          <w:szCs w:val="32"/>
        </w:rPr>
        <w:tab/>
        <w:t>ก</w:t>
      </w:r>
    </w:p>
    <w:p>
      <w:pPr>
        <w:tabs>
          <w:tab w:pos="8220" w:val="right" w:leader="hyphen"/>
        </w:tabs>
        <w:spacing w:line="240" w:lineRule="auto" w:after="40"/>
      </w:pPr>
      <w:r>
        <w:rPr>
          <w:rFonts w:ascii="TH Sarabun New" w:hAnsi="TH Sarabun New" w:cs="TH Sarabun New" w:eastAsia="TH Sarabun New"/>
          <w:b w:val="0"/>
          <w:i w:val="0"/>
          <w:sz w:val="32"/>
          <w:szCs w:val="32"/>
        </w:rPr>
        <w:t>กิตติกรรมประกาศ</w:t>
      </w:r>
      <w:r>
        <w:rPr>
          <w:rFonts w:ascii="TH Sarabun New" w:hAnsi="TH Sarabun New" w:cs="TH Sarabun New" w:eastAsia="TH Sarabun New"/>
          <w:b w:val="0"/>
          <w:i w:val="0"/>
          <w:sz w:val="32"/>
          <w:szCs w:val="32"/>
        </w:rPr>
        <w:tab/>
        <w:t>ข</w:t>
      </w:r>
    </w:p>
    <w:p>
      <w:pPr>
        <w:tabs>
          <w:tab w:pos="8220" w:val="right" w:leader="hyphen"/>
        </w:tabs>
        <w:spacing w:line="240" w:lineRule="auto" w:after="40"/>
      </w:pPr>
      <w:r>
        <w:rPr>
          <w:rFonts w:ascii="TH Sarabun New" w:hAnsi="TH Sarabun New" w:cs="TH Sarabun New" w:eastAsia="TH Sarabun New"/>
          <w:b w:val="0"/>
          <w:i w:val="0"/>
          <w:sz w:val="32"/>
          <w:szCs w:val="32"/>
        </w:rPr>
        <w:t>บทคัดย่อ (ภาษาไทย)</w:t>
      </w:r>
      <w:r>
        <w:rPr>
          <w:rFonts w:ascii="TH Sarabun New" w:hAnsi="TH Sarabun New" w:cs="TH Sarabun New" w:eastAsia="TH Sarabun New"/>
          <w:b w:val="0"/>
          <w:i w:val="0"/>
          <w:sz w:val="32"/>
          <w:szCs w:val="32"/>
        </w:rPr>
        <w:tab/>
        <w:t>ค</w:t>
      </w:r>
    </w:p>
    <w:p>
      <w:pPr>
        <w:tabs>
          <w:tab w:pos="8220" w:val="right" w:leader="hyphen"/>
        </w:tabs>
        <w:spacing w:line="240" w:lineRule="auto" w:after="40"/>
      </w:pPr>
      <w:r>
        <w:rPr>
          <w:rFonts w:ascii="TH Sarabun New" w:hAnsi="TH Sarabun New" w:cs="TH Sarabun New" w:eastAsia="TH Sarabun New"/>
          <w:b w:val="0"/>
          <w:i w:val="0"/>
          <w:sz w:val="32"/>
          <w:szCs w:val="32"/>
        </w:rPr>
        <w:t>Abstract (English)</w:t>
      </w:r>
      <w:r>
        <w:rPr>
          <w:rFonts w:ascii="TH Sarabun New" w:hAnsi="TH Sarabun New" w:cs="TH Sarabun New" w:eastAsia="TH Sarabun New"/>
          <w:b w:val="0"/>
          <w:i w:val="0"/>
          <w:sz w:val="32"/>
          <w:szCs w:val="32"/>
        </w:rPr>
        <w:tab/>
        <w:t>ง</w:t>
      </w:r>
    </w:p>
    <w:p>
      <w:pPr>
        <w:tabs>
          <w:tab w:pos="8220" w:val="right" w:leader="hyphen"/>
        </w:tabs>
        <w:spacing w:line="240" w:lineRule="auto" w:after="40"/>
      </w:pPr>
      <w:r>
        <w:rPr>
          <w:rFonts w:ascii="TH Sarabun New" w:hAnsi="TH Sarabun New" w:cs="TH Sarabun New" w:eastAsia="TH Sarabun New"/>
          <w:b w:val="0"/>
          <w:i w:val="0"/>
          <w:sz w:val="32"/>
          <w:szCs w:val="32"/>
        </w:rPr>
        <w:t>สารบัญ</w:t>
      </w:r>
      <w:r>
        <w:rPr>
          <w:rFonts w:ascii="TH Sarabun New" w:hAnsi="TH Sarabun New" w:cs="TH Sarabun New" w:eastAsia="TH Sarabun New"/>
          <w:b w:val="0"/>
          <w:i w:val="0"/>
          <w:sz w:val="32"/>
          <w:szCs w:val="32"/>
        </w:rPr>
        <w:tab/>
        <w:t>จ</w:t>
      </w:r>
    </w:p>
    <w:p>
      <w:pPr>
        <w:tabs>
          <w:tab w:pos="8220" w:val="right" w:leader="hyphen"/>
        </w:tabs>
        <w:spacing w:line="240" w:lineRule="auto" w:after="40"/>
      </w:pPr>
      <w:r>
        <w:rPr>
          <w:rFonts w:ascii="TH Sarabun New" w:hAnsi="TH Sarabun New" w:cs="TH Sarabun New" w:eastAsia="TH Sarabun New"/>
          <w:b w:val="0"/>
          <w:i w:val="0"/>
          <w:sz w:val="32"/>
          <w:szCs w:val="32"/>
        </w:rPr>
        <w:t>สารบัญตาราง</w:t>
      </w:r>
      <w:r>
        <w:rPr>
          <w:rFonts w:ascii="TH Sarabun New" w:hAnsi="TH Sarabun New" w:cs="TH Sarabun New" w:eastAsia="TH Sarabun New"/>
          <w:b w:val="0"/>
          <w:i w:val="0"/>
          <w:sz w:val="32"/>
          <w:szCs w:val="32"/>
        </w:rPr>
        <w:tab/>
        <w:t>ฉ</w:t>
      </w:r>
    </w:p>
    <w:p>
      <w:pPr>
        <w:tabs>
          <w:tab w:pos="8220" w:val="right" w:leader="hyphen"/>
        </w:tabs>
        <w:spacing w:line="240" w:lineRule="auto" w:after="40"/>
      </w:pPr>
      <w:r>
        <w:rPr>
          <w:rFonts w:ascii="TH Sarabun New" w:hAnsi="TH Sarabun New" w:cs="TH Sarabun New" w:eastAsia="TH Sarabun New"/>
          <w:b w:val="0"/>
          <w:i w:val="0"/>
          <w:sz w:val="32"/>
          <w:szCs w:val="32"/>
        </w:rPr>
        <w:t>สารบัญภาพ</w:t>
      </w:r>
      <w:r>
        <w:rPr>
          <w:rFonts w:ascii="TH Sarabun New" w:hAnsi="TH Sarabun New" w:cs="TH Sarabun New" w:eastAsia="TH Sarabun New"/>
          <w:b w:val="0"/>
          <w:i w:val="0"/>
          <w:sz w:val="32"/>
          <w:szCs w:val="32"/>
        </w:rPr>
        <w:tab/>
        <w:t>ช</w:t>
      </w:r>
    </w:p>
    <w:p>
      <w:pPr>
        <w:tabs>
          <w:tab w:pos="8220" w:val="right" w:leader="hyphen"/>
        </w:tabs>
        <w:spacing w:line="240" w:lineRule="auto" w:after="40"/>
      </w:pPr>
      <w:r>
        <w:rPr>
          <w:rFonts w:ascii="TH Sarabun New" w:hAnsi="TH Sarabun New" w:cs="TH Sarabun New" w:eastAsia="TH Sarabun New"/>
          <w:b w:val="0"/>
          <w:i w:val="0"/>
          <w:sz w:val="32"/>
          <w:szCs w:val="32"/>
        </w:rPr>
        <w:t>คำอธิบายอักษรย่อและสัญลักษณ์</w:t>
      </w:r>
      <w:r>
        <w:rPr>
          <w:rFonts w:ascii="TH Sarabun New" w:hAnsi="TH Sarabun New" w:cs="TH Sarabun New" w:eastAsia="TH Sarabun New"/>
          <w:b w:val="0"/>
          <w:i w:val="0"/>
          <w:sz w:val="32"/>
          <w:szCs w:val="32"/>
        </w:rPr>
        <w:tab/>
        <w:t>ซ</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๑  บทนำ</w:t>
      </w:r>
      <w:r>
        <w:rPr>
          <w:rFonts w:ascii="TH Sarabun New" w:hAnsi="TH Sarabun New" w:cs="TH Sarabun New" w:eastAsia="TH Sarabun New"/>
          <w:b w:val="0"/>
          <w:i w:val="0"/>
          <w:sz w:val="32"/>
          <w:szCs w:val="32"/>
        </w:rPr>
        <w:tab/>
        <w:t>๑</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๑.๑ ความเป็นมาและความสำคัญของปัญหา</w:t>
      </w:r>
      <w:r>
        <w:rPr>
          <w:rFonts w:ascii="TH Sarabun New" w:hAnsi="TH Sarabun New" w:cs="TH Sarabun New" w:eastAsia="TH Sarabun New"/>
          <w:b w:val="0"/>
          <w:i w:val="0"/>
          <w:sz w:val="32"/>
          <w:szCs w:val="32"/>
        </w:rPr>
        <w:tab/>
        <w:t>๑</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๑.๒ วัตถุประสงค์ของการศึกษา</w:t>
      </w:r>
      <w:r>
        <w:rPr>
          <w:rFonts w:ascii="TH Sarabun New" w:hAnsi="TH Sarabun New" w:cs="TH Sarabun New" w:eastAsia="TH Sarabun New"/>
          <w:b w:val="0"/>
          <w:i w:val="0"/>
          <w:sz w:val="32"/>
          <w:szCs w:val="32"/>
        </w:rPr>
        <w:tab/>
        <w:t>๓</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๑.๓ ขอบเขตของการศึกษา</w:t>
      </w:r>
      <w:r>
        <w:rPr>
          <w:rFonts w:ascii="TH Sarabun New" w:hAnsi="TH Sarabun New" w:cs="TH Sarabun New" w:eastAsia="TH Sarabun New"/>
          <w:b w:val="0"/>
          <w:i w:val="0"/>
          <w:sz w:val="32"/>
          <w:szCs w:val="32"/>
        </w:rPr>
        <w:tab/>
        <w:t>๔</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๑.๔ ประโยชน์ที่คาดว่าจะได้รับ</w:t>
      </w:r>
      <w:r>
        <w:rPr>
          <w:rFonts w:ascii="TH Sarabun New" w:hAnsi="TH Sarabun New" w:cs="TH Sarabun New" w:eastAsia="TH Sarabun New"/>
          <w:b w:val="0"/>
          <w:i w:val="0"/>
          <w:sz w:val="32"/>
          <w:szCs w:val="32"/>
        </w:rPr>
        <w:tab/>
        <w:t>๕</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๑.๕ นิยามศัพท์เฉพาะ</w:t>
      </w:r>
      <w:r>
        <w:rPr>
          <w:rFonts w:ascii="TH Sarabun New" w:hAnsi="TH Sarabun New" w:cs="TH Sarabun New" w:eastAsia="TH Sarabun New"/>
          <w:b w:val="0"/>
          <w:i w:val="0"/>
          <w:sz w:val="32"/>
          <w:szCs w:val="32"/>
        </w:rPr>
        <w:tab/>
        <w:t>๕</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๒  ทบทวนวรรณกรรมและกรณีศึกษา</w:t>
      </w:r>
      <w:r>
        <w:rPr>
          <w:rFonts w:ascii="TH Sarabun New" w:hAnsi="TH Sarabun New" w:cs="TH Sarabun New" w:eastAsia="TH Sarabun New"/>
          <w:b w:val="0"/>
          <w:i w:val="0"/>
          <w:sz w:val="32"/>
          <w:szCs w:val="32"/>
        </w:rPr>
        <w:tab/>
        <w:t>๘</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๒.๑ แนวคิด Mobility-as-a-Service (MaaS)</w:t>
      </w:r>
      <w:r>
        <w:rPr>
          <w:rFonts w:ascii="TH Sarabun New" w:hAnsi="TH Sarabun New" w:cs="TH Sarabun New" w:eastAsia="TH Sarabun New"/>
          <w:b w:val="0"/>
          <w:i w:val="0"/>
          <w:sz w:val="32"/>
          <w:szCs w:val="32"/>
        </w:rPr>
        <w:tab/>
        <w:t>๘</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๒.๒ กรณีศึกษาในต่างประเทศ</w:t>
      </w:r>
      <w:r>
        <w:rPr>
          <w:rFonts w:ascii="TH Sarabun New" w:hAnsi="TH Sarabun New" w:cs="TH Sarabun New" w:eastAsia="TH Sarabun New"/>
          <w:b w:val="0"/>
          <w:i w:val="0"/>
          <w:sz w:val="32"/>
          <w:szCs w:val="32"/>
        </w:rPr>
        <w:tab/>
        <w:t>๑๐</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๒.๓ บริบทประเทศไทย</w:t>
      </w:r>
      <w:r>
        <w:rPr>
          <w:rFonts w:ascii="TH Sarabun New" w:hAnsi="TH Sarabun New" w:cs="TH Sarabun New" w:eastAsia="TH Sarabun New"/>
          <w:b w:val="0"/>
          <w:i w:val="0"/>
          <w:sz w:val="32"/>
          <w:szCs w:val="32"/>
        </w:rPr>
        <w:tab/>
        <w:t>๑๓</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๓  การวิเคราะห์สถานการณ์</w:t>
      </w:r>
      <w:r>
        <w:rPr>
          <w:rFonts w:ascii="TH Sarabun New" w:hAnsi="TH Sarabun New" w:cs="TH Sarabun New" w:eastAsia="TH Sarabun New"/>
          <w:b w:val="0"/>
          <w:i w:val="0"/>
          <w:sz w:val="32"/>
          <w:szCs w:val="32"/>
        </w:rPr>
        <w:tab/>
        <w:t>๑๕</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๓.๑ การวิเคราะห์ SWOT</w:t>
      </w:r>
      <w:r>
        <w:rPr>
          <w:rFonts w:ascii="TH Sarabun New" w:hAnsi="TH Sarabun New" w:cs="TH Sarabun New" w:eastAsia="TH Sarabun New"/>
          <w:b w:val="0"/>
          <w:i w:val="0"/>
          <w:sz w:val="32"/>
          <w:szCs w:val="32"/>
        </w:rPr>
        <w:tab/>
        <w:t>๑๕</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๓.๒ การวิเคราะห์ PESTEL</w:t>
      </w:r>
      <w:r>
        <w:rPr>
          <w:rFonts w:ascii="TH Sarabun New" w:hAnsi="TH Sarabun New" w:cs="TH Sarabun New" w:eastAsia="TH Sarabun New"/>
          <w:b w:val="0"/>
          <w:i w:val="0"/>
          <w:sz w:val="32"/>
          <w:szCs w:val="32"/>
        </w:rPr>
        <w:tab/>
        <w:t>๑๗</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๔  กรอบแนวคิด ๔ เสาหลัก</w:t>
      </w:r>
      <w:r>
        <w:rPr>
          <w:rFonts w:ascii="TH Sarabun New" w:hAnsi="TH Sarabun New" w:cs="TH Sarabun New" w:eastAsia="TH Sarabun New"/>
          <w:b w:val="0"/>
          <w:i w:val="0"/>
          <w:sz w:val="32"/>
          <w:szCs w:val="32"/>
        </w:rPr>
        <w:tab/>
        <w:t>๑๙</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๔.๑ เสาที่ ๑: ระบบตั๋วร่วม</w:t>
      </w:r>
      <w:r>
        <w:rPr>
          <w:rFonts w:ascii="TH Sarabun New" w:hAnsi="TH Sarabun New" w:cs="TH Sarabun New" w:eastAsia="TH Sarabun New"/>
          <w:b w:val="0"/>
          <w:i w:val="0"/>
          <w:sz w:val="32"/>
          <w:szCs w:val="32"/>
        </w:rPr>
        <w:tab/>
        <w:t>๑๙</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๔.๒ เสาที่ ๒: แอปพลิเคชัน MaaS</w:t>
      </w:r>
      <w:r>
        <w:rPr>
          <w:rFonts w:ascii="TH Sarabun New" w:hAnsi="TH Sarabun New" w:cs="TH Sarabun New" w:eastAsia="TH Sarabun New"/>
          <w:b w:val="0"/>
          <w:i w:val="0"/>
          <w:sz w:val="32"/>
          <w:szCs w:val="32"/>
        </w:rPr>
        <w:tab/>
        <w:t>๒๑</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๔.๓ เสาที่ ๓: โครงสร้างพื้นฐานคนเดิน</w:t>
      </w:r>
      <w:r>
        <w:rPr>
          <w:rFonts w:ascii="TH Sarabun New" w:hAnsi="TH Sarabun New" w:cs="TH Sarabun New" w:eastAsia="TH Sarabun New"/>
          <w:b w:val="0"/>
          <w:i w:val="0"/>
          <w:sz w:val="32"/>
          <w:szCs w:val="32"/>
        </w:rPr>
        <w:tab/>
        <w:t>๒๒</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๔.๔ เสาที่ ๔: มาตรการทางภาษี</w:t>
      </w:r>
      <w:r>
        <w:rPr>
          <w:rFonts w:ascii="TH Sarabun New" w:hAnsi="TH Sarabun New" w:cs="TH Sarabun New" w:eastAsia="TH Sarabun New"/>
          <w:b w:val="0"/>
          <w:i w:val="0"/>
          <w:sz w:val="32"/>
          <w:szCs w:val="32"/>
        </w:rPr>
        <w:tab/>
        <w:t>๒๔</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๕  พื้นที่นำร่อง จังหวัดสมุทรปราการ</w:t>
      </w:r>
      <w:r>
        <w:rPr>
          <w:rFonts w:ascii="TH Sarabun New" w:hAnsi="TH Sarabun New" w:cs="TH Sarabun New" w:eastAsia="TH Sarabun New"/>
          <w:b w:val="0"/>
          <w:i w:val="0"/>
          <w:sz w:val="32"/>
          <w:szCs w:val="32"/>
        </w:rPr>
        <w:tab/>
        <w:t>๒๖</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๕.๑ เหตุผลในการเลือกจังหวัดสมุทรปราการ</w:t>
      </w:r>
      <w:r>
        <w:rPr>
          <w:rFonts w:ascii="TH Sarabun New" w:hAnsi="TH Sarabun New" w:cs="TH Sarabun New" w:eastAsia="TH Sarabun New"/>
          <w:b w:val="0"/>
          <w:i w:val="0"/>
          <w:sz w:val="32"/>
          <w:szCs w:val="32"/>
        </w:rPr>
        <w:tab/>
        <w:t>๒๖</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๕.๒ สถานภาพการขนส่งปัจจุบัน</w:t>
      </w:r>
      <w:r>
        <w:rPr>
          <w:rFonts w:ascii="TH Sarabun New" w:hAnsi="TH Sarabun New" w:cs="TH Sarabun New" w:eastAsia="TH Sarabun New"/>
          <w:b w:val="0"/>
          <w:i w:val="0"/>
          <w:sz w:val="32"/>
          <w:szCs w:val="32"/>
        </w:rPr>
        <w:tab/>
        <w:t>๒๗</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๕.๓ แผนการดำเนินงานในพื้นที่นำร่อง</w:t>
      </w:r>
      <w:r>
        <w:rPr>
          <w:rFonts w:ascii="TH Sarabun New" w:hAnsi="TH Sarabun New" w:cs="TH Sarabun New" w:eastAsia="TH Sarabun New"/>
          <w:b w:val="0"/>
          <w:i w:val="0"/>
          <w:sz w:val="32"/>
          <w:szCs w:val="32"/>
        </w:rPr>
        <w:tab/>
        <w:t>๒๘</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๕.๔ การเปรียบเทียบกับจังหวัดอื่น</w:t>
      </w:r>
      <w:r>
        <w:rPr>
          <w:rFonts w:ascii="TH Sarabun New" w:hAnsi="TH Sarabun New" w:cs="TH Sarabun New" w:eastAsia="TH Sarabun New"/>
          <w:b w:val="0"/>
          <w:i w:val="0"/>
          <w:sz w:val="32"/>
          <w:szCs w:val="32"/>
        </w:rPr>
        <w:tab/>
        <w:t>๓๐</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๖  แผนปฏิบัติการ</w:t>
      </w:r>
      <w:r>
        <w:rPr>
          <w:rFonts w:ascii="TH Sarabun New" w:hAnsi="TH Sarabun New" w:cs="TH Sarabun New" w:eastAsia="TH Sarabun New"/>
          <w:b w:val="0"/>
          <w:i w:val="0"/>
          <w:sz w:val="32"/>
          <w:szCs w:val="32"/>
        </w:rPr>
        <w:tab/>
        <w:t>๓๒</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๖.๑ Roadmap ๓ ระยะ ๑๐ ปี</w:t>
      </w:r>
      <w:r>
        <w:rPr>
          <w:rFonts w:ascii="TH Sarabun New" w:hAnsi="TH Sarabun New" w:cs="TH Sarabun New" w:eastAsia="TH Sarabun New"/>
          <w:b w:val="0"/>
          <w:i w:val="0"/>
          <w:sz w:val="32"/>
          <w:szCs w:val="32"/>
        </w:rPr>
        <w:tab/>
        <w:t>๓๒</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๖.๒ บทบาทของหน่วยงานที่เกี่ยวข้อง</w:t>
      </w:r>
      <w:r>
        <w:rPr>
          <w:rFonts w:ascii="TH Sarabun New" w:hAnsi="TH Sarabun New" w:cs="TH Sarabun New" w:eastAsia="TH Sarabun New"/>
          <w:b w:val="0"/>
          <w:i w:val="0"/>
          <w:sz w:val="32"/>
          <w:szCs w:val="32"/>
        </w:rPr>
        <w:tab/>
        <w:t>๓๔</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๗  การวิเคราะห์งบประมาณและความคุ้มค่า</w:t>
      </w:r>
      <w:r>
        <w:rPr>
          <w:rFonts w:ascii="TH Sarabun New" w:hAnsi="TH Sarabun New" w:cs="TH Sarabun New" w:eastAsia="TH Sarabun New"/>
          <w:b w:val="0"/>
          <w:i w:val="0"/>
          <w:sz w:val="32"/>
          <w:szCs w:val="32"/>
        </w:rPr>
        <w:tab/>
        <w:t>๓๗</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๗.๑ ประมาณการงบประมาณ</w:t>
      </w:r>
      <w:r>
        <w:rPr>
          <w:rFonts w:ascii="TH Sarabun New" w:hAnsi="TH Sarabun New" w:cs="TH Sarabun New" w:eastAsia="TH Sarabun New"/>
          <w:b w:val="0"/>
          <w:i w:val="0"/>
          <w:sz w:val="32"/>
          <w:szCs w:val="32"/>
        </w:rPr>
        <w:tab/>
        <w:t>๓๗</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๗.๒ ประมาณการรายได้ใหม่</w:t>
      </w:r>
      <w:r>
        <w:rPr>
          <w:rFonts w:ascii="TH Sarabun New" w:hAnsi="TH Sarabun New" w:cs="TH Sarabun New" w:eastAsia="TH Sarabun New"/>
          <w:b w:val="0"/>
          <w:i w:val="0"/>
          <w:sz w:val="32"/>
          <w:szCs w:val="32"/>
        </w:rPr>
        <w:tab/>
        <w:t>๓๙</w:t>
      </w:r>
    </w:p>
    <w:p>
      <w:pPr>
        <w:tabs>
          <w:tab w:pos="8220" w:val="right" w:leader="hyphen"/>
        </w:tabs>
        <w:spacing w:line="240" w:lineRule="auto" w:after="40"/>
      </w:pPr>
      <w:r>
        <w:rPr>
          <w:rFonts w:ascii="TH Sarabun New" w:hAnsi="TH Sarabun New" w:cs="TH Sarabun New" w:eastAsia="TH Sarabun New"/>
          <w:b w:val="0"/>
          <w:i w:val="0"/>
          <w:sz w:val="32"/>
          <w:szCs w:val="32"/>
        </w:rPr>
        <w:t xml:space="preserve">    ๗.๓ การวิเคราะห์ BCR และ Sensitivity</w:t>
      </w:r>
      <w:r>
        <w:rPr>
          <w:rFonts w:ascii="TH Sarabun New" w:hAnsi="TH Sarabun New" w:cs="TH Sarabun New" w:eastAsia="TH Sarabun New"/>
          <w:b w:val="0"/>
          <w:i w:val="0"/>
          <w:sz w:val="32"/>
          <w:szCs w:val="32"/>
        </w:rPr>
        <w:tab/>
        <w:t>๔๐</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๘  ตัวชี้วัดความสำเร็จ</w:t>
      </w:r>
      <w:r>
        <w:rPr>
          <w:rFonts w:ascii="TH Sarabun New" w:hAnsi="TH Sarabun New" w:cs="TH Sarabun New" w:eastAsia="TH Sarabun New"/>
          <w:b w:val="0"/>
          <w:i w:val="0"/>
          <w:sz w:val="32"/>
          <w:szCs w:val="32"/>
        </w:rPr>
        <w:tab/>
        <w:t>๔๒</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๙  ความเสี่ยงและการบริหารจัดการ</w:t>
      </w:r>
      <w:r>
        <w:rPr>
          <w:rFonts w:ascii="TH Sarabun New" w:hAnsi="TH Sarabun New" w:cs="TH Sarabun New" w:eastAsia="TH Sarabun New"/>
          <w:b w:val="0"/>
          <w:i w:val="0"/>
          <w:sz w:val="32"/>
          <w:szCs w:val="32"/>
        </w:rPr>
        <w:tab/>
        <w:t>๔๔</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บทที่ ๑๐ สรุปและข้อเสนอแนะ</w:t>
      </w:r>
      <w:r>
        <w:rPr>
          <w:rFonts w:ascii="TH Sarabun New" w:hAnsi="TH Sarabun New" w:cs="TH Sarabun New" w:eastAsia="TH Sarabun New"/>
          <w:b w:val="0"/>
          <w:i w:val="0"/>
          <w:sz w:val="32"/>
          <w:szCs w:val="32"/>
        </w:rPr>
        <w:tab/>
        <w:t>๔๗</w:t>
      </w:r>
    </w:p>
    <w:p>
      <w:pPr>
        <w:spacing w:line="240" w:lineRule="auto"/>
      </w:pPr>
    </w:p>
    <w:p>
      <w:pPr>
        <w:tabs>
          <w:tab w:pos="8220" w:val="right" w:leader="hyphen"/>
        </w:tabs>
        <w:spacing w:line="240" w:lineRule="auto" w:after="40"/>
      </w:pPr>
      <w:r>
        <w:rPr>
          <w:rFonts w:ascii="TH Sarabun New" w:hAnsi="TH Sarabun New" w:cs="TH Sarabun New" w:eastAsia="TH Sarabun New"/>
          <w:b w:val="0"/>
          <w:i w:val="0"/>
          <w:sz w:val="32"/>
          <w:szCs w:val="32"/>
        </w:rPr>
        <w:t>บรรณานุกรม</w:t>
      </w:r>
      <w:r>
        <w:rPr>
          <w:rFonts w:ascii="TH Sarabun New" w:hAnsi="TH Sarabun New" w:cs="TH Sarabun New" w:eastAsia="TH Sarabun New"/>
          <w:b w:val="0"/>
          <w:i w:val="0"/>
          <w:sz w:val="32"/>
          <w:szCs w:val="32"/>
        </w:rPr>
        <w:tab/>
        <w:t>๕๐</w:t>
      </w:r>
    </w:p>
    <w:p>
      <w:pPr>
        <w:tabs>
          <w:tab w:pos="8220" w:val="right" w:leader="hyphen"/>
        </w:tabs>
        <w:spacing w:line="240" w:lineRule="auto" w:after="40"/>
      </w:pPr>
      <w:r>
        <w:rPr>
          <w:rFonts w:ascii="TH Sarabun New" w:hAnsi="TH Sarabun New" w:cs="TH Sarabun New" w:eastAsia="TH Sarabun New"/>
          <w:b w:val="0"/>
          <w:i w:val="0"/>
          <w:sz w:val="32"/>
          <w:szCs w:val="32"/>
        </w:rPr>
        <w:t>ภาคผนวก ก  รายละเอียดเส้นทางและสถานี</w:t>
      </w:r>
      <w:r>
        <w:rPr>
          <w:rFonts w:ascii="TH Sarabun New" w:hAnsi="TH Sarabun New" w:cs="TH Sarabun New" w:eastAsia="TH Sarabun New"/>
          <w:b w:val="0"/>
          <w:i w:val="0"/>
          <w:sz w:val="32"/>
          <w:szCs w:val="32"/>
        </w:rPr>
        <w:tab/>
        <w:t>๕๔</w:t>
      </w:r>
    </w:p>
    <w:p>
      <w:pPr>
        <w:tabs>
          <w:tab w:pos="8220" w:val="right" w:leader="hyphen"/>
        </w:tabs>
        <w:spacing w:line="240" w:lineRule="auto" w:after="40"/>
      </w:pPr>
      <w:r>
        <w:rPr>
          <w:rFonts w:ascii="TH Sarabun New" w:hAnsi="TH Sarabun New" w:cs="TH Sarabun New" w:eastAsia="TH Sarabun New"/>
          <w:b w:val="0"/>
          <w:i w:val="0"/>
          <w:sz w:val="32"/>
          <w:szCs w:val="32"/>
        </w:rPr>
        <w:t>ภาคผนวก ข  การคำนวณงบประมาณรายโครงการ</w:t>
      </w:r>
      <w:r>
        <w:rPr>
          <w:rFonts w:ascii="TH Sarabun New" w:hAnsi="TH Sarabun New" w:cs="TH Sarabun New" w:eastAsia="TH Sarabun New"/>
          <w:b w:val="0"/>
          <w:i w:val="0"/>
          <w:sz w:val="32"/>
          <w:szCs w:val="32"/>
        </w:rPr>
        <w:tab/>
        <w:t>๕๖</w:t>
      </w:r>
    </w:p>
    <w:p>
      <w:pPr>
        <w:tabs>
          <w:tab w:pos="8220" w:val="right" w:leader="hyphen"/>
        </w:tabs>
        <w:spacing w:line="240" w:lineRule="auto" w:after="40"/>
      </w:pPr>
      <w:r>
        <w:rPr>
          <w:rFonts w:ascii="TH Sarabun New" w:hAnsi="TH Sarabun New" w:cs="TH Sarabun New" w:eastAsia="TH Sarabun New"/>
          <w:b w:val="0"/>
          <w:i w:val="0"/>
          <w:sz w:val="32"/>
          <w:szCs w:val="32"/>
        </w:rPr>
        <w:t>ประวัติผู้จัดทำ</w:t>
      </w:r>
      <w:r>
        <w:rPr>
          <w:rFonts w:ascii="TH Sarabun New" w:hAnsi="TH Sarabun New" w:cs="TH Sarabun New" w:eastAsia="TH Sarabun New"/>
          <w:b w:val="0"/>
          <w:i w:val="0"/>
          <w:sz w:val="32"/>
          <w:szCs w:val="32"/>
        </w:rPr>
        <w:tab/>
        <w:t>๕๘</w:t>
      </w:r>
    </w:p>
    <w:p>
      <w:r>
        <w:br w:type="page"/>
      </w:r>
    </w:p>
    <w:p>
      <w:pPr>
        <w:spacing w:line="240" w:lineRule="auto" w:before="0" w:after="480"/>
        <w:jc w:val="center"/>
      </w:pPr>
      <w:r>
        <w:rPr>
          <w:rFonts w:ascii="TH Sarabun New" w:hAnsi="TH Sarabun New" w:cs="TH Sarabun New" w:eastAsia="TH Sarabun New"/>
          <w:b/>
          <w:i w:val="0"/>
          <w:sz w:val="40"/>
          <w:szCs w:val="40"/>
        </w:rPr>
        <w:t>สารบัญตาราง</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๒.๑  เปรียบเทียบระบบ MaaS ในต่างประเทศ</w:t>
      </w:r>
      <w:r>
        <w:rPr>
          <w:rFonts w:ascii="TH Sarabun New" w:hAnsi="TH Sarabun New" w:cs="TH Sarabun New" w:eastAsia="TH Sarabun New"/>
          <w:b w:val="0"/>
          <w:i w:val="0"/>
          <w:sz w:val="32"/>
          <w:szCs w:val="32"/>
        </w:rPr>
        <w:tab/>
        <w:t>๑๑</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๓.๑  การวิเคราะห์ SWOT</w:t>
      </w:r>
      <w:r>
        <w:rPr>
          <w:rFonts w:ascii="TH Sarabun New" w:hAnsi="TH Sarabun New" w:cs="TH Sarabun New" w:eastAsia="TH Sarabun New"/>
          <w:b w:val="0"/>
          <w:i w:val="0"/>
          <w:sz w:val="32"/>
          <w:szCs w:val="32"/>
        </w:rPr>
        <w:tab/>
        <w:t>๑๕</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๓.๒  การวิเคราะห์ PESTEL</w:t>
      </w:r>
      <w:r>
        <w:rPr>
          <w:rFonts w:ascii="TH Sarabun New" w:hAnsi="TH Sarabun New" w:cs="TH Sarabun New" w:eastAsia="TH Sarabun New"/>
          <w:b w:val="0"/>
          <w:i w:val="0"/>
          <w:sz w:val="32"/>
          <w:szCs w:val="32"/>
        </w:rPr>
        <w:tab/>
        <w:t>๑๗</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๕.๑  สถานภาพระบบขนส่งในจังหวัดสมุทรปราการ</w:t>
      </w:r>
      <w:r>
        <w:rPr>
          <w:rFonts w:ascii="TH Sarabun New" w:hAnsi="TH Sarabun New" w:cs="TH Sarabun New" w:eastAsia="TH Sarabun New"/>
          <w:b w:val="0"/>
          <w:i w:val="0"/>
          <w:sz w:val="32"/>
          <w:szCs w:val="32"/>
        </w:rPr>
        <w:tab/>
        <w:t>๒๗</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๕.๒  เปรียบเทียบจังหวัดที่เหมาะสำหรับ Pilot</w:t>
      </w:r>
      <w:r>
        <w:rPr>
          <w:rFonts w:ascii="TH Sarabun New" w:hAnsi="TH Sarabun New" w:cs="TH Sarabun New" w:eastAsia="TH Sarabun New"/>
          <w:b w:val="0"/>
          <w:i w:val="0"/>
          <w:sz w:val="32"/>
          <w:szCs w:val="32"/>
        </w:rPr>
        <w:tab/>
        <w:t>๓๐</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๖.๑  Roadmap ๓ ระยะ</w:t>
      </w:r>
      <w:r>
        <w:rPr>
          <w:rFonts w:ascii="TH Sarabun New" w:hAnsi="TH Sarabun New" w:cs="TH Sarabun New" w:eastAsia="TH Sarabun New"/>
          <w:b w:val="0"/>
          <w:i w:val="0"/>
          <w:sz w:val="32"/>
          <w:szCs w:val="32"/>
        </w:rPr>
        <w:tab/>
        <w:t>๓๒</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๖.๒  บทบาทของหน่วยงาน</w:t>
      </w:r>
      <w:r>
        <w:rPr>
          <w:rFonts w:ascii="TH Sarabun New" w:hAnsi="TH Sarabun New" w:cs="TH Sarabun New" w:eastAsia="TH Sarabun New"/>
          <w:b w:val="0"/>
          <w:i w:val="0"/>
          <w:sz w:val="32"/>
          <w:szCs w:val="32"/>
        </w:rPr>
        <w:tab/>
        <w:t>๓๔</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๗.๑  สถานการณ์งบประมาณ ๓ กรณี</w:t>
      </w:r>
      <w:r>
        <w:rPr>
          <w:rFonts w:ascii="TH Sarabun New" w:hAnsi="TH Sarabun New" w:cs="TH Sarabun New" w:eastAsia="TH Sarabun New"/>
          <w:b w:val="0"/>
          <w:i w:val="0"/>
          <w:sz w:val="32"/>
          <w:szCs w:val="32"/>
        </w:rPr>
        <w:tab/>
        <w:t>๓๗</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๗.๒  รายการงบประมาณระยะที่ ๑</w:t>
      </w:r>
      <w:r>
        <w:rPr>
          <w:rFonts w:ascii="TH Sarabun New" w:hAnsi="TH Sarabun New" w:cs="TH Sarabun New" w:eastAsia="TH Sarabun New"/>
          <w:b w:val="0"/>
          <w:i w:val="0"/>
          <w:sz w:val="32"/>
          <w:szCs w:val="32"/>
        </w:rPr>
        <w:tab/>
        <w:t>๓๘</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๗.๓  รายการงบประมาณระยะที่ ๒</w:t>
      </w:r>
      <w:r>
        <w:rPr>
          <w:rFonts w:ascii="TH Sarabun New" w:hAnsi="TH Sarabun New" w:cs="TH Sarabun New" w:eastAsia="TH Sarabun New"/>
          <w:b w:val="0"/>
          <w:i w:val="0"/>
          <w:sz w:val="32"/>
          <w:szCs w:val="32"/>
        </w:rPr>
        <w:tab/>
        <w:t>๓๙</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๗.๔  ประมาณการรายได้ใหม่</w:t>
      </w:r>
      <w:r>
        <w:rPr>
          <w:rFonts w:ascii="TH Sarabun New" w:hAnsi="TH Sarabun New" w:cs="TH Sarabun New" w:eastAsia="TH Sarabun New"/>
          <w:b w:val="0"/>
          <w:i w:val="0"/>
          <w:sz w:val="32"/>
          <w:szCs w:val="32"/>
        </w:rPr>
        <w:tab/>
        <w:t>๓๙</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๘.๑  ตัวชี้วัด ๙ ค่าหลัก</w:t>
      </w:r>
      <w:r>
        <w:rPr>
          <w:rFonts w:ascii="TH Sarabun New" w:hAnsi="TH Sarabun New" w:cs="TH Sarabun New" w:eastAsia="TH Sarabun New"/>
          <w:b w:val="0"/>
          <w:i w:val="0"/>
          <w:sz w:val="32"/>
          <w:szCs w:val="32"/>
        </w:rPr>
        <w:tab/>
        <w:t>๔๒</w:t>
      </w:r>
    </w:p>
    <w:p>
      <w:pPr>
        <w:tabs>
          <w:tab w:pos="8220" w:val="right" w:leader="hyphen"/>
        </w:tabs>
        <w:spacing w:line="240" w:lineRule="auto" w:after="40"/>
      </w:pPr>
      <w:r>
        <w:rPr>
          <w:rFonts w:ascii="TH Sarabun New" w:hAnsi="TH Sarabun New" w:cs="TH Sarabun New" w:eastAsia="TH Sarabun New"/>
          <w:b w:val="0"/>
          <w:i w:val="0"/>
          <w:sz w:val="32"/>
          <w:szCs w:val="32"/>
        </w:rPr>
        <w:t>ตารางที่ ๙.๑  ความเสี่ยง ๑๐ ประการ</w:t>
      </w:r>
      <w:r>
        <w:rPr>
          <w:rFonts w:ascii="TH Sarabun New" w:hAnsi="TH Sarabun New" w:cs="TH Sarabun New" w:eastAsia="TH Sarabun New"/>
          <w:b w:val="0"/>
          <w:i w:val="0"/>
          <w:sz w:val="32"/>
          <w:szCs w:val="32"/>
        </w:rPr>
        <w:tab/>
        <w:t>๔๔</w:t>
      </w:r>
    </w:p>
    <w:p>
      <w:r>
        <w:br w:type="page"/>
      </w:r>
    </w:p>
    <w:p>
      <w:pPr>
        <w:spacing w:line="240" w:lineRule="auto" w:before="0" w:after="480"/>
        <w:jc w:val="center"/>
      </w:pPr>
      <w:r>
        <w:rPr>
          <w:rFonts w:ascii="TH Sarabun New" w:hAnsi="TH Sarabun New" w:cs="TH Sarabun New" w:eastAsia="TH Sarabun New"/>
          <w:b/>
          <w:i w:val="0"/>
          <w:sz w:val="40"/>
          <w:szCs w:val="40"/>
        </w:rPr>
        <w:t>สารบัญภาพ</w:t>
      </w:r>
    </w:p>
    <w:p>
      <w:pPr>
        <w:tabs>
          <w:tab w:pos="8220" w:val="right" w:leader="hyphen"/>
        </w:tabs>
        <w:spacing w:line="240" w:lineRule="auto" w:after="40"/>
      </w:pPr>
      <w:r>
        <w:rPr>
          <w:rFonts w:ascii="TH Sarabun New" w:hAnsi="TH Sarabun New" w:cs="TH Sarabun New" w:eastAsia="TH Sarabun New"/>
          <w:b w:val="0"/>
          <w:i w:val="0"/>
          <w:sz w:val="32"/>
          <w:szCs w:val="32"/>
        </w:rPr>
        <w:t>ภาพที่ ๑.๑  ภาพรวมโครงการ MOT Mobility</w:t>
      </w:r>
      <w:r>
        <w:rPr>
          <w:rFonts w:ascii="TH Sarabun New" w:hAnsi="TH Sarabun New" w:cs="TH Sarabun New" w:eastAsia="TH Sarabun New"/>
          <w:b w:val="0"/>
          <w:i w:val="0"/>
          <w:sz w:val="32"/>
          <w:szCs w:val="32"/>
        </w:rPr>
        <w:tab/>
        <w:t>๒</w:t>
      </w:r>
    </w:p>
    <w:p>
      <w:pPr>
        <w:tabs>
          <w:tab w:pos="8220" w:val="right" w:leader="hyphen"/>
        </w:tabs>
        <w:spacing w:line="240" w:lineRule="auto" w:after="40"/>
      </w:pPr>
      <w:r>
        <w:rPr>
          <w:rFonts w:ascii="TH Sarabun New" w:hAnsi="TH Sarabun New" w:cs="TH Sarabun New" w:eastAsia="TH Sarabun New"/>
          <w:b w:val="0"/>
          <w:i w:val="0"/>
          <w:sz w:val="32"/>
          <w:szCs w:val="32"/>
        </w:rPr>
        <w:t>ภาพที่ ๑.๒  ปัญหาเขตเมืองและสมุทรปราการ</w:t>
      </w:r>
      <w:r>
        <w:rPr>
          <w:rFonts w:ascii="TH Sarabun New" w:hAnsi="TH Sarabun New" w:cs="TH Sarabun New" w:eastAsia="TH Sarabun New"/>
          <w:b w:val="0"/>
          <w:i w:val="0"/>
          <w:sz w:val="32"/>
          <w:szCs w:val="32"/>
        </w:rPr>
        <w:tab/>
        <w:t>๓</w:t>
      </w:r>
    </w:p>
    <w:p>
      <w:pPr>
        <w:tabs>
          <w:tab w:pos="8220" w:val="right" w:leader="hyphen"/>
        </w:tabs>
        <w:spacing w:line="240" w:lineRule="auto" w:after="40"/>
      </w:pPr>
      <w:r>
        <w:rPr>
          <w:rFonts w:ascii="TH Sarabun New" w:hAnsi="TH Sarabun New" w:cs="TH Sarabun New" w:eastAsia="TH Sarabun New"/>
          <w:b w:val="0"/>
          <w:i w:val="0"/>
          <w:sz w:val="32"/>
          <w:szCs w:val="32"/>
        </w:rPr>
        <w:t>ภาพที่ ๒.๑  เหตุการณ์เปลี่ยนเกมและตัวอย่างต่างประเทศ</w:t>
      </w:r>
      <w:r>
        <w:rPr>
          <w:rFonts w:ascii="TH Sarabun New" w:hAnsi="TH Sarabun New" w:cs="TH Sarabun New" w:eastAsia="TH Sarabun New"/>
          <w:b w:val="0"/>
          <w:i w:val="0"/>
          <w:sz w:val="32"/>
          <w:szCs w:val="32"/>
        </w:rPr>
        <w:tab/>
        <w:t>๑๓</w:t>
      </w:r>
    </w:p>
    <w:p>
      <w:pPr>
        <w:tabs>
          <w:tab w:pos="8220" w:val="right" w:leader="hyphen"/>
        </w:tabs>
        <w:spacing w:line="240" w:lineRule="auto" w:after="40"/>
      </w:pPr>
      <w:r>
        <w:rPr>
          <w:rFonts w:ascii="TH Sarabun New" w:hAnsi="TH Sarabun New" w:cs="TH Sarabun New" w:eastAsia="TH Sarabun New"/>
          <w:b w:val="0"/>
          <w:i w:val="0"/>
          <w:sz w:val="32"/>
          <w:szCs w:val="32"/>
        </w:rPr>
        <w:t>ภาพที่ ๒.๒  ภาพปก MOT Mobility</w:t>
      </w:r>
      <w:r>
        <w:rPr>
          <w:rFonts w:ascii="TH Sarabun New" w:hAnsi="TH Sarabun New" w:cs="TH Sarabun New" w:eastAsia="TH Sarabun New"/>
          <w:b w:val="0"/>
          <w:i w:val="0"/>
          <w:sz w:val="32"/>
          <w:szCs w:val="32"/>
        </w:rPr>
        <w:tab/>
        <w:t>๑๔</w:t>
      </w:r>
    </w:p>
    <w:p>
      <w:pPr>
        <w:tabs>
          <w:tab w:pos="8220" w:val="right" w:leader="hyphen"/>
        </w:tabs>
        <w:spacing w:line="240" w:lineRule="auto" w:after="40"/>
      </w:pPr>
      <w:r>
        <w:rPr>
          <w:rFonts w:ascii="TH Sarabun New" w:hAnsi="TH Sarabun New" w:cs="TH Sarabun New" w:eastAsia="TH Sarabun New"/>
          <w:b w:val="0"/>
          <w:i w:val="0"/>
          <w:sz w:val="32"/>
          <w:szCs w:val="32"/>
        </w:rPr>
        <w:t>ภาพที่ ๔.๑  กรอบแนวคิด ๔ เสาหลัก</w:t>
      </w:r>
      <w:r>
        <w:rPr>
          <w:rFonts w:ascii="TH Sarabun New" w:hAnsi="TH Sarabun New" w:cs="TH Sarabun New" w:eastAsia="TH Sarabun New"/>
          <w:b w:val="0"/>
          <w:i w:val="0"/>
          <w:sz w:val="32"/>
          <w:szCs w:val="32"/>
        </w:rPr>
        <w:tab/>
        <w:t>๑๙</w:t>
      </w:r>
    </w:p>
    <w:p>
      <w:pPr>
        <w:tabs>
          <w:tab w:pos="8220" w:val="right" w:leader="hyphen"/>
        </w:tabs>
        <w:spacing w:line="240" w:lineRule="auto" w:after="40"/>
      </w:pPr>
      <w:r>
        <w:rPr>
          <w:rFonts w:ascii="TH Sarabun New" w:hAnsi="TH Sarabun New" w:cs="TH Sarabun New" w:eastAsia="TH Sarabun New"/>
          <w:b w:val="0"/>
          <w:i w:val="0"/>
          <w:sz w:val="32"/>
          <w:szCs w:val="32"/>
        </w:rPr>
        <w:t>ภาพที่ ๔.๒  ภาพจำลองแอปพลิเคชัน MaaS</w:t>
      </w:r>
      <w:r>
        <w:rPr>
          <w:rFonts w:ascii="TH Sarabun New" w:hAnsi="TH Sarabun New" w:cs="TH Sarabun New" w:eastAsia="TH Sarabun New"/>
          <w:b w:val="0"/>
          <w:i w:val="0"/>
          <w:sz w:val="32"/>
          <w:szCs w:val="32"/>
        </w:rPr>
        <w:tab/>
        <w:t>๒๒</w:t>
      </w:r>
    </w:p>
    <w:p>
      <w:pPr>
        <w:tabs>
          <w:tab w:pos="8220" w:val="right" w:leader="hyphen"/>
        </w:tabs>
        <w:spacing w:line="240" w:lineRule="auto" w:after="40"/>
      </w:pPr>
      <w:r>
        <w:rPr>
          <w:rFonts w:ascii="TH Sarabun New" w:hAnsi="TH Sarabun New" w:cs="TH Sarabun New" w:eastAsia="TH Sarabun New"/>
          <w:b w:val="0"/>
          <w:i w:val="0"/>
          <w:sz w:val="32"/>
          <w:szCs w:val="32"/>
        </w:rPr>
        <w:t>ภาพที่ ๕.๑  พื้นที่นำร่องและการดำเนินงานสมุทรปราการ</w:t>
      </w:r>
      <w:r>
        <w:rPr>
          <w:rFonts w:ascii="TH Sarabun New" w:hAnsi="TH Sarabun New" w:cs="TH Sarabun New" w:eastAsia="TH Sarabun New"/>
          <w:b w:val="0"/>
          <w:i w:val="0"/>
          <w:sz w:val="32"/>
          <w:szCs w:val="32"/>
        </w:rPr>
        <w:tab/>
        <w:t>๒๖</w:t>
      </w:r>
    </w:p>
    <w:p>
      <w:pPr>
        <w:tabs>
          <w:tab w:pos="8220" w:val="right" w:leader="hyphen"/>
        </w:tabs>
        <w:spacing w:line="240" w:lineRule="auto" w:after="40"/>
      </w:pPr>
      <w:r>
        <w:rPr>
          <w:rFonts w:ascii="TH Sarabun New" w:hAnsi="TH Sarabun New" w:cs="TH Sarabun New" w:eastAsia="TH Sarabun New"/>
          <w:b w:val="0"/>
          <w:i w:val="0"/>
          <w:sz w:val="32"/>
          <w:szCs w:val="32"/>
        </w:rPr>
        <w:t>ภาพที่ ๖.๑  Roadmap ๓ ระยะ ๑๐ ปี</w:t>
      </w:r>
      <w:r>
        <w:rPr>
          <w:rFonts w:ascii="TH Sarabun New" w:hAnsi="TH Sarabun New" w:cs="TH Sarabun New" w:eastAsia="TH Sarabun New"/>
          <w:b w:val="0"/>
          <w:i w:val="0"/>
          <w:sz w:val="32"/>
          <w:szCs w:val="32"/>
        </w:rPr>
        <w:tab/>
        <w:t>๓๒</w:t>
      </w:r>
    </w:p>
    <w:p>
      <w:pPr>
        <w:tabs>
          <w:tab w:pos="8220" w:val="right" w:leader="hyphen"/>
        </w:tabs>
        <w:spacing w:line="240" w:lineRule="auto" w:after="40"/>
      </w:pPr>
      <w:r>
        <w:rPr>
          <w:rFonts w:ascii="TH Sarabun New" w:hAnsi="TH Sarabun New" w:cs="TH Sarabun New" w:eastAsia="TH Sarabun New"/>
          <w:b w:val="0"/>
          <w:i w:val="0"/>
          <w:sz w:val="32"/>
          <w:szCs w:val="32"/>
        </w:rPr>
        <w:t>ภาพที่ ๖.๒  บทบาทหน่วยงาน ๑๒ หน่วย</w:t>
      </w:r>
      <w:r>
        <w:rPr>
          <w:rFonts w:ascii="TH Sarabun New" w:hAnsi="TH Sarabun New" w:cs="TH Sarabun New" w:eastAsia="TH Sarabun New"/>
          <w:b w:val="0"/>
          <w:i w:val="0"/>
          <w:sz w:val="32"/>
          <w:szCs w:val="32"/>
        </w:rPr>
        <w:tab/>
        <w:t>๓๔</w:t>
      </w:r>
    </w:p>
    <w:p>
      <w:pPr>
        <w:tabs>
          <w:tab w:pos="8220" w:val="right" w:leader="hyphen"/>
        </w:tabs>
        <w:spacing w:line="240" w:lineRule="auto" w:after="40"/>
      </w:pPr>
      <w:r>
        <w:rPr>
          <w:rFonts w:ascii="TH Sarabun New" w:hAnsi="TH Sarabun New" w:cs="TH Sarabun New" w:eastAsia="TH Sarabun New"/>
          <w:b w:val="0"/>
          <w:i w:val="0"/>
          <w:sz w:val="32"/>
          <w:szCs w:val="32"/>
        </w:rPr>
        <w:t>ภาพที่ ๗.๑  งบประมาณและการวิเคราะห์ BCR</w:t>
      </w:r>
      <w:r>
        <w:rPr>
          <w:rFonts w:ascii="TH Sarabun New" w:hAnsi="TH Sarabun New" w:cs="TH Sarabun New" w:eastAsia="TH Sarabun New"/>
          <w:b w:val="0"/>
          <w:i w:val="0"/>
          <w:sz w:val="32"/>
          <w:szCs w:val="32"/>
        </w:rPr>
        <w:tab/>
        <w:t>๓๗</w:t>
      </w:r>
    </w:p>
    <w:p>
      <w:pPr>
        <w:tabs>
          <w:tab w:pos="8220" w:val="right" w:leader="hyphen"/>
        </w:tabs>
        <w:spacing w:line="240" w:lineRule="auto" w:after="40"/>
      </w:pPr>
      <w:r>
        <w:rPr>
          <w:rFonts w:ascii="TH Sarabun New" w:hAnsi="TH Sarabun New" w:cs="TH Sarabun New" w:eastAsia="TH Sarabun New"/>
          <w:b w:val="0"/>
          <w:i w:val="0"/>
          <w:sz w:val="32"/>
          <w:szCs w:val="32"/>
        </w:rPr>
        <w:t>ภาพที่ ๘.๑  ตัวชี้วัด ๖ ค่าหลัก</w:t>
      </w:r>
      <w:r>
        <w:rPr>
          <w:rFonts w:ascii="TH Sarabun New" w:hAnsi="TH Sarabun New" w:cs="TH Sarabun New" w:eastAsia="TH Sarabun New"/>
          <w:b w:val="0"/>
          <w:i w:val="0"/>
          <w:sz w:val="32"/>
          <w:szCs w:val="32"/>
        </w:rPr>
        <w:tab/>
        <w:t>๔๒</w:t>
      </w:r>
    </w:p>
    <w:p>
      <w:pPr>
        <w:tabs>
          <w:tab w:pos="8220" w:val="right" w:leader="hyphen"/>
        </w:tabs>
        <w:spacing w:line="240" w:lineRule="auto" w:after="40"/>
      </w:pPr>
      <w:r>
        <w:rPr>
          <w:rFonts w:ascii="TH Sarabun New" w:hAnsi="TH Sarabun New" w:cs="TH Sarabun New" w:eastAsia="TH Sarabun New"/>
          <w:b w:val="0"/>
          <w:i w:val="0"/>
          <w:sz w:val="32"/>
          <w:szCs w:val="32"/>
        </w:rPr>
        <w:t>ภาพที่ ๙.๑  ความเสี่ยงและยุทธศาสตร์ Public-Led</w:t>
      </w:r>
      <w:r>
        <w:rPr>
          <w:rFonts w:ascii="TH Sarabun New" w:hAnsi="TH Sarabun New" w:cs="TH Sarabun New" w:eastAsia="TH Sarabun New"/>
          <w:b w:val="0"/>
          <w:i w:val="0"/>
          <w:sz w:val="32"/>
          <w:szCs w:val="32"/>
        </w:rPr>
        <w:tab/>
        <w:t>๔๔</w:t>
      </w:r>
    </w:p>
    <w:p>
      <w:pPr>
        <w:tabs>
          <w:tab w:pos="8220" w:val="right" w:leader="hyphen"/>
        </w:tabs>
        <w:spacing w:line="240" w:lineRule="auto" w:after="40"/>
      </w:pPr>
      <w:r>
        <w:rPr>
          <w:rFonts w:ascii="TH Sarabun New" w:hAnsi="TH Sarabun New" w:cs="TH Sarabun New" w:eastAsia="TH Sarabun New"/>
          <w:b w:val="0"/>
          <w:i w:val="0"/>
          <w:sz w:val="32"/>
          <w:szCs w:val="32"/>
        </w:rPr>
        <w:t>ภาพที่ ๑๐.๑ วิสัยทัศน์ปี พ.ศ. ๒๕๗๖</w:t>
      </w:r>
      <w:r>
        <w:rPr>
          <w:rFonts w:ascii="TH Sarabun New" w:hAnsi="TH Sarabun New" w:cs="TH Sarabun New" w:eastAsia="TH Sarabun New"/>
          <w:b w:val="0"/>
          <w:i w:val="0"/>
          <w:sz w:val="32"/>
          <w:szCs w:val="32"/>
        </w:rPr>
        <w:tab/>
        <w:t>๔๗</w:t>
      </w:r>
    </w:p>
    <w:p>
      <w:r>
        <w:br w:type="page"/>
      </w:r>
    </w:p>
    <w:p>
      <w:pPr>
        <w:spacing w:line="240" w:lineRule="auto" w:before="0" w:after="360"/>
        <w:jc w:val="center"/>
      </w:pPr>
      <w:r>
        <w:rPr>
          <w:rFonts w:ascii="TH Sarabun New" w:hAnsi="TH Sarabun New" w:cs="TH Sarabun New" w:eastAsia="TH Sarabun New"/>
          <w:b/>
          <w:i w:val="0"/>
          <w:sz w:val="40"/>
          <w:szCs w:val="40"/>
        </w:rPr>
        <w:t>คำอธิบายอักษรย่อและสัญลักษณ์</w:t>
      </w:r>
    </w:p>
    <w:p>
      <w:pPr>
        <w:spacing w:line="240" w:lineRule="auto" w:after="60"/>
        <w:ind w:left="1984" w:hanging="1701"/>
      </w:pPr>
      <w:r>
        <w:rPr>
          <w:rFonts w:ascii="TH Sarabun New" w:hAnsi="TH Sarabun New" w:cs="TH Sarabun New" w:eastAsia="TH Sarabun New"/>
          <w:b/>
          <w:i w:val="0"/>
          <w:sz w:val="32"/>
          <w:szCs w:val="32"/>
        </w:rPr>
        <w:t>ABT</w:t>
      </w:r>
      <w:r>
        <w:rPr>
          <w:rFonts w:ascii="TH Sarabun New" w:hAnsi="TH Sarabun New" w:cs="TH Sarabun New" w:eastAsia="TH Sarabun New"/>
          <w:b w:val="0"/>
          <w:i w:val="0"/>
          <w:sz w:val="32"/>
          <w:szCs w:val="32"/>
        </w:rPr>
        <w:tab/>
        <w:t>Account-Based Ticketing (ระบบคำนวณค่าโดยสารแบบบัญชี)</w:t>
      </w:r>
    </w:p>
    <w:p>
      <w:pPr>
        <w:spacing w:line="240" w:lineRule="auto" w:after="60"/>
        <w:ind w:left="1984" w:hanging="1701"/>
      </w:pPr>
      <w:r>
        <w:rPr>
          <w:rFonts w:ascii="TH Sarabun New" w:hAnsi="TH Sarabun New" w:cs="TH Sarabun New" w:eastAsia="TH Sarabun New"/>
          <w:b/>
          <w:i w:val="0"/>
          <w:sz w:val="32"/>
          <w:szCs w:val="32"/>
        </w:rPr>
        <w:t>AADT</w:t>
      </w:r>
      <w:r>
        <w:rPr>
          <w:rFonts w:ascii="TH Sarabun New" w:hAnsi="TH Sarabun New" w:cs="TH Sarabun New" w:eastAsia="TH Sarabun New"/>
          <w:b w:val="0"/>
          <w:i w:val="0"/>
          <w:sz w:val="32"/>
          <w:szCs w:val="32"/>
        </w:rPr>
        <w:tab/>
        <w:t>Annual Average Daily Traffic (ปริมาณจราจรเฉลี่ยต่อวันรายปี)</w:t>
      </w:r>
    </w:p>
    <w:p>
      <w:pPr>
        <w:spacing w:line="240" w:lineRule="auto" w:after="60"/>
        <w:ind w:left="1984" w:hanging="1701"/>
      </w:pPr>
      <w:r>
        <w:rPr>
          <w:rFonts w:ascii="TH Sarabun New" w:hAnsi="TH Sarabun New" w:cs="TH Sarabun New" w:eastAsia="TH Sarabun New"/>
          <w:b/>
          <w:i w:val="0"/>
          <w:sz w:val="32"/>
          <w:szCs w:val="32"/>
        </w:rPr>
        <w:t>ARL</w:t>
      </w:r>
      <w:r>
        <w:rPr>
          <w:rFonts w:ascii="TH Sarabun New" w:hAnsi="TH Sarabun New" w:cs="TH Sarabun New" w:eastAsia="TH Sarabun New"/>
          <w:b w:val="0"/>
          <w:i w:val="0"/>
          <w:sz w:val="32"/>
          <w:szCs w:val="32"/>
        </w:rPr>
        <w:tab/>
        <w:t>Airport Rail Link (รถไฟฟ้าสายสนามบินสุวรรณภูมิ)</w:t>
      </w:r>
    </w:p>
    <w:p>
      <w:pPr>
        <w:spacing w:line="240" w:lineRule="auto" w:after="60"/>
        <w:ind w:left="1984" w:hanging="1701"/>
      </w:pPr>
      <w:r>
        <w:rPr>
          <w:rFonts w:ascii="TH Sarabun New" w:hAnsi="TH Sarabun New" w:cs="TH Sarabun New" w:eastAsia="TH Sarabun New"/>
          <w:b/>
          <w:i w:val="0"/>
          <w:sz w:val="32"/>
          <w:szCs w:val="32"/>
        </w:rPr>
        <w:t>BCR</w:t>
      </w:r>
      <w:r>
        <w:rPr>
          <w:rFonts w:ascii="TH Sarabun New" w:hAnsi="TH Sarabun New" w:cs="TH Sarabun New" w:eastAsia="TH Sarabun New"/>
          <w:b w:val="0"/>
          <w:i w:val="0"/>
          <w:sz w:val="32"/>
          <w:szCs w:val="32"/>
        </w:rPr>
        <w:tab/>
        <w:t>Benefit-Cost Ratio (อัตราส่วนผลตอบแทนต่อต้นทุน)</w:t>
      </w:r>
    </w:p>
    <w:p>
      <w:pPr>
        <w:spacing w:line="240" w:lineRule="auto" w:after="60"/>
        <w:ind w:left="1984" w:hanging="1701"/>
      </w:pPr>
      <w:r>
        <w:rPr>
          <w:rFonts w:ascii="TH Sarabun New" w:hAnsi="TH Sarabun New" w:cs="TH Sarabun New" w:eastAsia="TH Sarabun New"/>
          <w:b/>
          <w:i w:val="0"/>
          <w:sz w:val="32"/>
          <w:szCs w:val="32"/>
        </w:rPr>
        <w:t>BMTA / ขสมก.</w:t>
      </w:r>
      <w:r>
        <w:rPr>
          <w:rFonts w:ascii="TH Sarabun New" w:hAnsi="TH Sarabun New" w:cs="TH Sarabun New" w:eastAsia="TH Sarabun New"/>
          <w:b w:val="0"/>
          <w:i w:val="0"/>
          <w:sz w:val="32"/>
          <w:szCs w:val="32"/>
        </w:rPr>
        <w:tab/>
        <w:t>องค์การขนส่งมวลชนกรุงเทพ</w:t>
      </w:r>
    </w:p>
    <w:p>
      <w:pPr>
        <w:spacing w:line="240" w:lineRule="auto" w:after="60"/>
        <w:ind w:left="1984" w:hanging="1701"/>
      </w:pPr>
      <w:r>
        <w:rPr>
          <w:rFonts w:ascii="TH Sarabun New" w:hAnsi="TH Sarabun New" w:cs="TH Sarabun New" w:eastAsia="TH Sarabun New"/>
          <w:b/>
          <w:i w:val="0"/>
          <w:sz w:val="32"/>
          <w:szCs w:val="32"/>
        </w:rPr>
        <w:t>BTSC</w:t>
      </w:r>
      <w:r>
        <w:rPr>
          <w:rFonts w:ascii="TH Sarabun New" w:hAnsi="TH Sarabun New" w:cs="TH Sarabun New" w:eastAsia="TH Sarabun New"/>
          <w:b w:val="0"/>
          <w:i w:val="0"/>
          <w:sz w:val="32"/>
          <w:szCs w:val="32"/>
        </w:rPr>
        <w:tab/>
        <w:t>Bangkok Mass Transit System PCL (ผู้ให้บริการ BTS)</w:t>
      </w:r>
    </w:p>
    <w:p>
      <w:pPr>
        <w:spacing w:line="240" w:lineRule="auto" w:after="60"/>
        <w:ind w:left="1984" w:hanging="1701"/>
      </w:pPr>
      <w:r>
        <w:rPr>
          <w:rFonts w:ascii="TH Sarabun New" w:hAnsi="TH Sarabun New" w:cs="TH Sarabun New" w:eastAsia="TH Sarabun New"/>
          <w:b/>
          <w:i w:val="0"/>
          <w:sz w:val="32"/>
          <w:szCs w:val="32"/>
        </w:rPr>
        <w:t>BVG</w:t>
      </w:r>
      <w:r>
        <w:rPr>
          <w:rFonts w:ascii="TH Sarabun New" w:hAnsi="TH Sarabun New" w:cs="TH Sarabun New" w:eastAsia="TH Sarabun New"/>
          <w:b w:val="0"/>
          <w:i w:val="0"/>
          <w:sz w:val="32"/>
          <w:szCs w:val="32"/>
        </w:rPr>
        <w:tab/>
        <w:t>Berliner Verkehrsbetriebe (บริษัทขนส่งสาธารณะ Berlin)</w:t>
      </w:r>
    </w:p>
    <w:p>
      <w:pPr>
        <w:spacing w:line="240" w:lineRule="auto" w:after="60"/>
        <w:ind w:left="1984" w:hanging="1701"/>
      </w:pPr>
      <w:r>
        <w:rPr>
          <w:rFonts w:ascii="TH Sarabun New" w:hAnsi="TH Sarabun New" w:cs="TH Sarabun New" w:eastAsia="TH Sarabun New"/>
          <w:b/>
          <w:i w:val="0"/>
          <w:sz w:val="32"/>
          <w:szCs w:val="32"/>
        </w:rPr>
        <w:t>CBD</w:t>
      </w:r>
      <w:r>
        <w:rPr>
          <w:rFonts w:ascii="TH Sarabun New" w:hAnsi="TH Sarabun New" w:cs="TH Sarabun New" w:eastAsia="TH Sarabun New"/>
          <w:b w:val="0"/>
          <w:i w:val="0"/>
          <w:sz w:val="32"/>
          <w:szCs w:val="32"/>
        </w:rPr>
        <w:tab/>
        <w:t>Central Business District (ย่านธุรกิจกลางเมือง)</w:t>
      </w:r>
    </w:p>
    <w:p>
      <w:pPr>
        <w:spacing w:line="240" w:lineRule="auto" w:after="60"/>
        <w:ind w:left="1984" w:hanging="1701"/>
      </w:pPr>
      <w:r>
        <w:rPr>
          <w:rFonts w:ascii="TH Sarabun New" w:hAnsi="TH Sarabun New" w:cs="TH Sarabun New" w:eastAsia="TH Sarabun New"/>
          <w:b/>
          <w:i w:val="0"/>
          <w:sz w:val="32"/>
          <w:szCs w:val="32"/>
        </w:rPr>
        <w:t>CO₂</w:t>
      </w:r>
      <w:r>
        <w:rPr>
          <w:rFonts w:ascii="TH Sarabun New" w:hAnsi="TH Sarabun New" w:cs="TH Sarabun New" w:eastAsia="TH Sarabun New"/>
          <w:b w:val="0"/>
          <w:i w:val="0"/>
          <w:sz w:val="32"/>
          <w:szCs w:val="32"/>
        </w:rPr>
        <w:tab/>
        <w:t>Carbon Dioxide (ก๊าซคาร์บอนไดออกไซด์)</w:t>
      </w:r>
    </w:p>
    <w:p>
      <w:pPr>
        <w:spacing w:line="240" w:lineRule="auto" w:after="60"/>
        <w:ind w:left="1984" w:hanging="1701"/>
      </w:pPr>
      <w:r>
        <w:rPr>
          <w:rFonts w:ascii="TH Sarabun New" w:hAnsi="TH Sarabun New" w:cs="TH Sarabun New" w:eastAsia="TH Sarabun New"/>
          <w:b/>
          <w:i w:val="0"/>
          <w:sz w:val="32"/>
          <w:szCs w:val="32"/>
        </w:rPr>
        <w:t>COP26</w:t>
      </w:r>
      <w:r>
        <w:rPr>
          <w:rFonts w:ascii="TH Sarabun New" w:hAnsi="TH Sarabun New" w:cs="TH Sarabun New" w:eastAsia="TH Sarabun New"/>
          <w:b w:val="0"/>
          <w:i w:val="0"/>
          <w:sz w:val="32"/>
          <w:szCs w:val="32"/>
        </w:rPr>
        <w:tab/>
        <w:t>United Nations Climate Change Conference ๒๖</w:t>
      </w:r>
    </w:p>
    <w:p>
      <w:pPr>
        <w:spacing w:line="240" w:lineRule="auto" w:after="60"/>
        <w:ind w:left="1984" w:hanging="1701"/>
      </w:pPr>
      <w:r>
        <w:rPr>
          <w:rFonts w:ascii="TH Sarabun New" w:hAnsi="TH Sarabun New" w:cs="TH Sarabun New" w:eastAsia="TH Sarabun New"/>
          <w:b/>
          <w:i w:val="0"/>
          <w:sz w:val="32"/>
          <w:szCs w:val="32"/>
        </w:rPr>
        <w:t>DAU</w:t>
      </w:r>
      <w:r>
        <w:rPr>
          <w:rFonts w:ascii="TH Sarabun New" w:hAnsi="TH Sarabun New" w:cs="TH Sarabun New" w:eastAsia="TH Sarabun New"/>
          <w:b w:val="0"/>
          <w:i w:val="0"/>
          <w:sz w:val="32"/>
          <w:szCs w:val="32"/>
        </w:rPr>
        <w:tab/>
        <w:t>Daily Active Users (ผู้ใช้รายวัน)</w:t>
      </w:r>
    </w:p>
    <w:p>
      <w:pPr>
        <w:spacing w:line="240" w:lineRule="auto" w:after="60"/>
        <w:ind w:left="1984" w:hanging="1701"/>
      </w:pPr>
      <w:r>
        <w:rPr>
          <w:rFonts w:ascii="TH Sarabun New" w:hAnsi="TH Sarabun New" w:cs="TH Sarabun New" w:eastAsia="TH Sarabun New"/>
          <w:b/>
          <w:i w:val="0"/>
          <w:sz w:val="32"/>
          <w:szCs w:val="32"/>
        </w:rPr>
        <w:t>EMV</w:t>
      </w:r>
      <w:r>
        <w:rPr>
          <w:rFonts w:ascii="TH Sarabun New" w:hAnsi="TH Sarabun New" w:cs="TH Sarabun New" w:eastAsia="TH Sarabun New"/>
          <w:b w:val="0"/>
          <w:i w:val="0"/>
          <w:sz w:val="32"/>
          <w:szCs w:val="32"/>
        </w:rPr>
        <w:tab/>
        <w:t>Europay-Mastercard-Visa (มาตรฐานชำระเงินบัตรเครดิต)</w:t>
      </w:r>
    </w:p>
    <w:p>
      <w:pPr>
        <w:spacing w:line="240" w:lineRule="auto" w:after="60"/>
        <w:ind w:left="1984" w:hanging="1701"/>
      </w:pPr>
      <w:r>
        <w:rPr>
          <w:rFonts w:ascii="TH Sarabun New" w:hAnsi="TH Sarabun New" w:cs="TH Sarabun New" w:eastAsia="TH Sarabun New"/>
          <w:b/>
          <w:i w:val="0"/>
          <w:sz w:val="32"/>
          <w:szCs w:val="32"/>
        </w:rPr>
        <w:t>ERP</w:t>
      </w:r>
      <w:r>
        <w:rPr>
          <w:rFonts w:ascii="TH Sarabun New" w:hAnsi="TH Sarabun New" w:cs="TH Sarabun New" w:eastAsia="TH Sarabun New"/>
          <w:b w:val="0"/>
          <w:i w:val="0"/>
          <w:sz w:val="32"/>
          <w:szCs w:val="32"/>
        </w:rPr>
        <w:tab/>
        <w:t>Electronic Road Pricing (ระบบเก็บค่าใช้ถนนอิเล็กทรอนิกส์)</w:t>
      </w:r>
    </w:p>
    <w:p>
      <w:pPr>
        <w:spacing w:line="240" w:lineRule="auto" w:after="60"/>
        <w:ind w:left="1984" w:hanging="1701"/>
      </w:pPr>
      <w:r>
        <w:rPr>
          <w:rFonts w:ascii="TH Sarabun New" w:hAnsi="TH Sarabun New" w:cs="TH Sarabun New" w:eastAsia="TH Sarabun New"/>
          <w:b/>
          <w:i w:val="0"/>
          <w:sz w:val="32"/>
          <w:szCs w:val="32"/>
        </w:rPr>
        <w:t>FTE</w:t>
      </w:r>
      <w:r>
        <w:rPr>
          <w:rFonts w:ascii="TH Sarabun New" w:hAnsi="TH Sarabun New" w:cs="TH Sarabun New" w:eastAsia="TH Sarabun New"/>
          <w:b w:val="0"/>
          <w:i w:val="0"/>
          <w:sz w:val="32"/>
          <w:szCs w:val="32"/>
        </w:rPr>
        <w:tab/>
        <w:t>Full-Time Equivalent (เทียบเท่าบุคลากรเต็มเวลา)</w:t>
      </w:r>
    </w:p>
    <w:p>
      <w:pPr>
        <w:spacing w:line="240" w:lineRule="auto" w:after="60"/>
        <w:ind w:left="1984" w:hanging="1701"/>
      </w:pPr>
      <w:r>
        <w:rPr>
          <w:rFonts w:ascii="TH Sarabun New" w:hAnsi="TH Sarabun New" w:cs="TH Sarabun New" w:eastAsia="TH Sarabun New"/>
          <w:b/>
          <w:i w:val="0"/>
          <w:sz w:val="32"/>
          <w:szCs w:val="32"/>
        </w:rPr>
        <w:t>GBFS</w:t>
      </w:r>
      <w:r>
        <w:rPr>
          <w:rFonts w:ascii="TH Sarabun New" w:hAnsi="TH Sarabun New" w:cs="TH Sarabun New" w:eastAsia="TH Sarabun New"/>
          <w:b w:val="0"/>
          <w:i w:val="0"/>
          <w:sz w:val="32"/>
          <w:szCs w:val="32"/>
        </w:rPr>
        <w:tab/>
        <w:t>General Bikeshare Feed Specification</w:t>
      </w:r>
    </w:p>
    <w:p>
      <w:pPr>
        <w:spacing w:line="240" w:lineRule="auto" w:after="60"/>
        <w:ind w:left="1984" w:hanging="1701"/>
      </w:pPr>
      <w:r>
        <w:rPr>
          <w:rFonts w:ascii="TH Sarabun New" w:hAnsi="TH Sarabun New" w:cs="TH Sarabun New" w:eastAsia="TH Sarabun New"/>
          <w:b/>
          <w:i w:val="0"/>
          <w:sz w:val="32"/>
          <w:szCs w:val="32"/>
        </w:rPr>
        <w:t>GPP</w:t>
      </w:r>
      <w:r>
        <w:rPr>
          <w:rFonts w:ascii="TH Sarabun New" w:hAnsi="TH Sarabun New" w:cs="TH Sarabun New" w:eastAsia="TH Sarabun New"/>
          <w:b w:val="0"/>
          <w:i w:val="0"/>
          <w:sz w:val="32"/>
          <w:szCs w:val="32"/>
        </w:rPr>
        <w:tab/>
        <w:t>Gross Provincial Product (ผลิตภัณฑ์มวลรวมจังหวัด)</w:t>
      </w:r>
    </w:p>
    <w:p>
      <w:pPr>
        <w:spacing w:line="240" w:lineRule="auto" w:after="60"/>
        <w:ind w:left="1984" w:hanging="1701"/>
      </w:pPr>
      <w:r>
        <w:rPr>
          <w:rFonts w:ascii="TH Sarabun New" w:hAnsi="TH Sarabun New" w:cs="TH Sarabun New" w:eastAsia="TH Sarabun New"/>
          <w:b/>
          <w:i w:val="0"/>
          <w:sz w:val="32"/>
          <w:szCs w:val="32"/>
        </w:rPr>
        <w:t>GTFS-RT</w:t>
      </w:r>
      <w:r>
        <w:rPr>
          <w:rFonts w:ascii="TH Sarabun New" w:hAnsi="TH Sarabun New" w:cs="TH Sarabun New" w:eastAsia="TH Sarabun New"/>
          <w:b w:val="0"/>
          <w:i w:val="0"/>
          <w:sz w:val="32"/>
          <w:szCs w:val="32"/>
        </w:rPr>
        <w:tab/>
        <w:t>General Transit Feed Specification - Realtime</w:t>
      </w:r>
    </w:p>
    <w:p>
      <w:pPr>
        <w:spacing w:line="240" w:lineRule="auto" w:after="60"/>
        <w:ind w:left="1984" w:hanging="1701"/>
      </w:pPr>
      <w:r>
        <w:rPr>
          <w:rFonts w:ascii="TH Sarabun New" w:hAnsi="TH Sarabun New" w:cs="TH Sarabun New" w:eastAsia="TH Sarabun New"/>
          <w:b/>
          <w:i w:val="0"/>
          <w:sz w:val="32"/>
          <w:szCs w:val="32"/>
        </w:rPr>
        <w:t>IRC</w:t>
      </w:r>
      <w:r>
        <w:rPr>
          <w:rFonts w:ascii="TH Sarabun New" w:hAnsi="TH Sarabun New" w:cs="TH Sarabun New" w:eastAsia="TH Sarabun New"/>
          <w:b w:val="0"/>
          <w:i w:val="0"/>
          <w:sz w:val="32"/>
          <w:szCs w:val="32"/>
        </w:rPr>
        <w:tab/>
        <w:t>Internal Revenue Code (USA)</w:t>
      </w:r>
    </w:p>
    <w:p>
      <w:pPr>
        <w:spacing w:line="240" w:lineRule="auto" w:after="60"/>
        <w:ind w:left="1984" w:hanging="1701"/>
      </w:pPr>
      <w:r>
        <w:rPr>
          <w:rFonts w:ascii="TH Sarabun New" w:hAnsi="TH Sarabun New" w:cs="TH Sarabun New" w:eastAsia="TH Sarabun New"/>
          <w:b/>
          <w:i w:val="0"/>
          <w:sz w:val="32"/>
          <w:szCs w:val="32"/>
        </w:rPr>
        <w:t>JTF</w:t>
      </w:r>
      <w:r>
        <w:rPr>
          <w:rFonts w:ascii="TH Sarabun New" w:hAnsi="TH Sarabun New" w:cs="TH Sarabun New" w:eastAsia="TH Sarabun New"/>
          <w:b w:val="0"/>
          <w:i w:val="0"/>
          <w:sz w:val="32"/>
          <w:szCs w:val="32"/>
        </w:rPr>
        <w:tab/>
        <w:t>Joint Task Force (คณะทำงานเฉพาะกิจร่วม)</w:t>
      </w:r>
    </w:p>
    <w:p>
      <w:pPr>
        <w:spacing w:line="240" w:lineRule="auto" w:after="60"/>
        <w:ind w:left="1984" w:hanging="1701"/>
      </w:pPr>
      <w:r>
        <w:rPr>
          <w:rFonts w:ascii="TH Sarabun New" w:hAnsi="TH Sarabun New" w:cs="TH Sarabun New" w:eastAsia="TH Sarabun New"/>
          <w:b/>
          <w:i w:val="0"/>
          <w:sz w:val="32"/>
          <w:szCs w:val="32"/>
        </w:rPr>
        <w:t>LTA</w:t>
      </w:r>
      <w:r>
        <w:rPr>
          <w:rFonts w:ascii="TH Sarabun New" w:hAnsi="TH Sarabun New" w:cs="TH Sarabun New" w:eastAsia="TH Sarabun New"/>
          <w:b w:val="0"/>
          <w:i w:val="0"/>
          <w:sz w:val="32"/>
          <w:szCs w:val="32"/>
        </w:rPr>
        <w:tab/>
        <w:t>Land Transport Authority (Singapore)</w:t>
      </w:r>
    </w:p>
    <w:p>
      <w:pPr>
        <w:spacing w:line="240" w:lineRule="auto" w:after="60"/>
        <w:ind w:left="1984" w:hanging="1701"/>
      </w:pPr>
      <w:r>
        <w:rPr>
          <w:rFonts w:ascii="TH Sarabun New" w:hAnsi="TH Sarabun New" w:cs="TH Sarabun New" w:eastAsia="TH Sarabun New"/>
          <w:b/>
          <w:i w:val="0"/>
          <w:sz w:val="32"/>
          <w:szCs w:val="32"/>
        </w:rPr>
        <w:t>MaaS</w:t>
      </w:r>
      <w:r>
        <w:rPr>
          <w:rFonts w:ascii="TH Sarabun New" w:hAnsi="TH Sarabun New" w:cs="TH Sarabun New" w:eastAsia="TH Sarabun New"/>
          <w:b w:val="0"/>
          <w:i w:val="0"/>
          <w:sz w:val="32"/>
          <w:szCs w:val="32"/>
        </w:rPr>
        <w:tab/>
        <w:t>Mobility-as-a-Service</w:t>
      </w:r>
    </w:p>
    <w:p>
      <w:pPr>
        <w:spacing w:line="240" w:lineRule="auto" w:after="60"/>
        <w:ind w:left="1984" w:hanging="1701"/>
      </w:pPr>
      <w:r>
        <w:rPr>
          <w:rFonts w:ascii="TH Sarabun New" w:hAnsi="TH Sarabun New" w:cs="TH Sarabun New" w:eastAsia="TH Sarabun New"/>
          <w:b/>
          <w:i w:val="0"/>
          <w:sz w:val="32"/>
          <w:szCs w:val="32"/>
        </w:rPr>
        <w:t>MOT</w:t>
      </w:r>
      <w:r>
        <w:rPr>
          <w:rFonts w:ascii="TH Sarabun New" w:hAnsi="TH Sarabun New" w:cs="TH Sarabun New" w:eastAsia="TH Sarabun New"/>
          <w:b w:val="0"/>
          <w:i w:val="0"/>
          <w:sz w:val="32"/>
          <w:szCs w:val="32"/>
        </w:rPr>
        <w:tab/>
        <w:t>Ministry of Transport (กระทรวงคมนาคม)</w:t>
      </w:r>
    </w:p>
    <w:p>
      <w:pPr>
        <w:spacing w:line="240" w:lineRule="auto" w:after="60"/>
        <w:ind w:left="1984" w:hanging="1701"/>
      </w:pPr>
      <w:r>
        <w:rPr>
          <w:rFonts w:ascii="TH Sarabun New" w:hAnsi="TH Sarabun New" w:cs="TH Sarabun New" w:eastAsia="TH Sarabun New"/>
          <w:b/>
          <w:i w:val="0"/>
          <w:sz w:val="32"/>
          <w:szCs w:val="32"/>
        </w:rPr>
        <w:t>NACTO</w:t>
      </w:r>
      <w:r>
        <w:rPr>
          <w:rFonts w:ascii="TH Sarabun New" w:hAnsi="TH Sarabun New" w:cs="TH Sarabun New" w:eastAsia="TH Sarabun New"/>
          <w:b w:val="0"/>
          <w:i w:val="0"/>
          <w:sz w:val="32"/>
          <w:szCs w:val="32"/>
        </w:rPr>
        <w:tab/>
        <w:t>National Association of City Transportation Officials</w:t>
      </w:r>
    </w:p>
    <w:p>
      <w:pPr>
        <w:spacing w:line="240" w:lineRule="auto" w:after="60"/>
        <w:ind w:left="1984" w:hanging="1701"/>
      </w:pPr>
      <w:r>
        <w:rPr>
          <w:rFonts w:ascii="TH Sarabun New" w:hAnsi="TH Sarabun New" w:cs="TH Sarabun New" w:eastAsia="TH Sarabun New"/>
          <w:b/>
          <w:i w:val="0"/>
          <w:sz w:val="32"/>
          <w:szCs w:val="32"/>
        </w:rPr>
        <w:t>NTCH</w:t>
      </w:r>
      <w:r>
        <w:rPr>
          <w:rFonts w:ascii="TH Sarabun New" w:hAnsi="TH Sarabun New" w:cs="TH Sarabun New" w:eastAsia="TH Sarabun New"/>
          <w:b w:val="0"/>
          <w:i w:val="0"/>
          <w:sz w:val="32"/>
          <w:szCs w:val="32"/>
        </w:rPr>
        <w:tab/>
        <w:t>National Transit Clearing House</w:t>
      </w:r>
    </w:p>
    <w:p>
      <w:pPr>
        <w:spacing w:line="240" w:lineRule="auto" w:after="60"/>
        <w:ind w:left="1984" w:hanging="1701"/>
      </w:pPr>
      <w:r>
        <w:rPr>
          <w:rFonts w:ascii="TH Sarabun New" w:hAnsi="TH Sarabun New" w:cs="TH Sarabun New" w:eastAsia="TH Sarabun New"/>
          <w:b/>
          <w:i w:val="0"/>
          <w:sz w:val="32"/>
          <w:szCs w:val="32"/>
        </w:rPr>
        <w:t>PDPA</w:t>
      </w:r>
      <w:r>
        <w:rPr>
          <w:rFonts w:ascii="TH Sarabun New" w:hAnsi="TH Sarabun New" w:cs="TH Sarabun New" w:eastAsia="TH Sarabun New"/>
          <w:b w:val="0"/>
          <w:i w:val="0"/>
          <w:sz w:val="32"/>
          <w:szCs w:val="32"/>
        </w:rPr>
        <w:tab/>
        <w:t>Personal Data Protection Act (พ.ร.บ. คุ้มครองข้อมูลส่วนบุคคล)</w:t>
      </w:r>
    </w:p>
    <w:p>
      <w:pPr>
        <w:spacing w:line="240" w:lineRule="auto" w:after="60"/>
        <w:ind w:left="1984" w:hanging="1701"/>
      </w:pPr>
      <w:r>
        <w:rPr>
          <w:rFonts w:ascii="TH Sarabun New" w:hAnsi="TH Sarabun New" w:cs="TH Sarabun New" w:eastAsia="TH Sarabun New"/>
          <w:b/>
          <w:i w:val="0"/>
          <w:sz w:val="32"/>
          <w:szCs w:val="32"/>
        </w:rPr>
        <w:t>PLOS</w:t>
      </w:r>
      <w:r>
        <w:rPr>
          <w:rFonts w:ascii="TH Sarabun New" w:hAnsi="TH Sarabun New" w:cs="TH Sarabun New" w:eastAsia="TH Sarabun New"/>
          <w:b w:val="0"/>
          <w:i w:val="0"/>
          <w:sz w:val="32"/>
          <w:szCs w:val="32"/>
        </w:rPr>
        <w:tab/>
        <w:t>Pedestrian Level of Service (ระดับการให้บริการคนเดินเท้า)</w:t>
      </w:r>
    </w:p>
    <w:p>
      <w:pPr>
        <w:spacing w:line="240" w:lineRule="auto" w:after="60"/>
        <w:ind w:left="1984" w:hanging="1701"/>
      </w:pPr>
      <w:r>
        <w:rPr>
          <w:rFonts w:ascii="TH Sarabun New" w:hAnsi="TH Sarabun New" w:cs="TH Sarabun New" w:eastAsia="TH Sarabun New"/>
          <w:b/>
          <w:i w:val="0"/>
          <w:sz w:val="32"/>
          <w:szCs w:val="32"/>
        </w:rPr>
        <w:t>PM2.5</w:t>
      </w:r>
      <w:r>
        <w:rPr>
          <w:rFonts w:ascii="TH Sarabun New" w:hAnsi="TH Sarabun New" w:cs="TH Sarabun New" w:eastAsia="TH Sarabun New"/>
          <w:b w:val="0"/>
          <w:i w:val="0"/>
          <w:sz w:val="32"/>
          <w:szCs w:val="32"/>
        </w:rPr>
        <w:tab/>
        <w:t>Particulate Matter ≤ ๒.๕ µm (ฝุ่นละอองขนาดเล็ก)</w:t>
      </w:r>
    </w:p>
    <w:p>
      <w:pPr>
        <w:spacing w:line="240" w:lineRule="auto" w:after="60"/>
        <w:ind w:left="1984" w:hanging="1701"/>
      </w:pPr>
      <w:r>
        <w:rPr>
          <w:rFonts w:ascii="TH Sarabun New" w:hAnsi="TH Sarabun New" w:cs="TH Sarabun New" w:eastAsia="TH Sarabun New"/>
          <w:b/>
          <w:i w:val="0"/>
          <w:sz w:val="32"/>
          <w:szCs w:val="32"/>
        </w:rPr>
        <w:t>PPP</w:t>
      </w:r>
      <w:r>
        <w:rPr>
          <w:rFonts w:ascii="TH Sarabun New" w:hAnsi="TH Sarabun New" w:cs="TH Sarabun New" w:eastAsia="TH Sarabun New"/>
          <w:b w:val="0"/>
          <w:i w:val="0"/>
          <w:sz w:val="32"/>
          <w:szCs w:val="32"/>
        </w:rPr>
        <w:tab/>
        <w:t>Public-Private Partnership (การร่วมลงทุนรัฐ-เอกชน)</w:t>
      </w:r>
    </w:p>
    <w:p>
      <w:pPr>
        <w:spacing w:line="240" w:lineRule="auto" w:after="60"/>
        <w:ind w:left="1984" w:hanging="1701"/>
      </w:pPr>
      <w:r>
        <w:rPr>
          <w:rFonts w:ascii="TH Sarabun New" w:hAnsi="TH Sarabun New" w:cs="TH Sarabun New" w:eastAsia="TH Sarabun New"/>
          <w:b/>
          <w:i w:val="0"/>
          <w:sz w:val="32"/>
          <w:szCs w:val="32"/>
        </w:rPr>
        <w:t>PSD2</w:t>
      </w:r>
      <w:r>
        <w:rPr>
          <w:rFonts w:ascii="TH Sarabun New" w:hAnsi="TH Sarabun New" w:cs="TH Sarabun New" w:eastAsia="TH Sarabun New"/>
          <w:b w:val="0"/>
          <w:i w:val="0"/>
          <w:sz w:val="32"/>
          <w:szCs w:val="32"/>
        </w:rPr>
        <w:tab/>
        <w:t>Payment Services Directive ๒ (EU)</w:t>
      </w:r>
    </w:p>
    <w:p>
      <w:pPr>
        <w:spacing w:line="240" w:lineRule="auto" w:after="60"/>
        <w:ind w:left="1984" w:hanging="1701"/>
      </w:pPr>
      <w:r>
        <w:rPr>
          <w:rFonts w:ascii="TH Sarabun New" w:hAnsi="TH Sarabun New" w:cs="TH Sarabun New" w:eastAsia="TH Sarabun New"/>
          <w:b/>
          <w:i w:val="0"/>
          <w:sz w:val="32"/>
          <w:szCs w:val="32"/>
        </w:rPr>
        <w:t>ROI</w:t>
      </w:r>
      <w:r>
        <w:rPr>
          <w:rFonts w:ascii="TH Sarabun New" w:hAnsi="TH Sarabun New" w:cs="TH Sarabun New" w:eastAsia="TH Sarabun New"/>
          <w:b w:val="0"/>
          <w:i w:val="0"/>
          <w:sz w:val="32"/>
          <w:szCs w:val="32"/>
        </w:rPr>
        <w:tab/>
        <w:t>Return on Investment (ผลตอบแทนการลงทุน)</w:t>
      </w:r>
    </w:p>
    <w:p>
      <w:pPr>
        <w:spacing w:line="240" w:lineRule="auto" w:after="60"/>
        <w:ind w:left="1984" w:hanging="1701"/>
      </w:pPr>
      <w:r>
        <w:rPr>
          <w:rFonts w:ascii="TH Sarabun New" w:hAnsi="TH Sarabun New" w:cs="TH Sarabun New" w:eastAsia="TH Sarabun New"/>
          <w:b/>
          <w:i w:val="0"/>
          <w:sz w:val="32"/>
          <w:szCs w:val="32"/>
        </w:rPr>
        <w:t>SDG</w:t>
      </w:r>
      <w:r>
        <w:rPr>
          <w:rFonts w:ascii="TH Sarabun New" w:hAnsi="TH Sarabun New" w:cs="TH Sarabun New" w:eastAsia="TH Sarabun New"/>
          <w:b w:val="0"/>
          <w:i w:val="0"/>
          <w:sz w:val="32"/>
          <w:szCs w:val="32"/>
        </w:rPr>
        <w:tab/>
        <w:t>Sustainable Development Goals</w:t>
      </w:r>
    </w:p>
    <w:p>
      <w:pPr>
        <w:spacing w:line="240" w:lineRule="auto" w:after="60"/>
        <w:ind w:left="1984" w:hanging="1701"/>
      </w:pPr>
      <w:r>
        <w:rPr>
          <w:rFonts w:ascii="TH Sarabun New" w:hAnsi="TH Sarabun New" w:cs="TH Sarabun New" w:eastAsia="TH Sarabun New"/>
          <w:b/>
          <w:i w:val="0"/>
          <w:sz w:val="32"/>
          <w:szCs w:val="32"/>
        </w:rPr>
        <w:t>SRT</w:t>
      </w:r>
      <w:r>
        <w:rPr>
          <w:rFonts w:ascii="TH Sarabun New" w:hAnsi="TH Sarabun New" w:cs="TH Sarabun New" w:eastAsia="TH Sarabun New"/>
          <w:b w:val="0"/>
          <w:i w:val="0"/>
          <w:sz w:val="32"/>
          <w:szCs w:val="32"/>
        </w:rPr>
        <w:tab/>
        <w:t>State Railway of Thailand (การรถไฟแห่งประเทศไทย)</w:t>
      </w:r>
    </w:p>
    <w:p>
      <w:pPr>
        <w:spacing w:line="240" w:lineRule="auto" w:after="60"/>
        <w:ind w:left="1984" w:hanging="1701"/>
      </w:pPr>
      <w:r>
        <w:rPr>
          <w:rFonts w:ascii="TH Sarabun New" w:hAnsi="TH Sarabun New" w:cs="TH Sarabun New" w:eastAsia="TH Sarabun New"/>
          <w:b/>
          <w:i w:val="0"/>
          <w:sz w:val="32"/>
          <w:szCs w:val="32"/>
        </w:rPr>
        <w:t>SRTET</w:t>
      </w:r>
      <w:r>
        <w:rPr>
          <w:rFonts w:ascii="TH Sarabun New" w:hAnsi="TH Sarabun New" w:cs="TH Sarabun New" w:eastAsia="TH Sarabun New"/>
          <w:b w:val="0"/>
          <w:i w:val="0"/>
          <w:sz w:val="32"/>
          <w:szCs w:val="32"/>
        </w:rPr>
        <w:tab/>
        <w:t>SRT Electrified Train Company Limited</w:t>
      </w:r>
    </w:p>
    <w:p>
      <w:pPr>
        <w:spacing w:line="240" w:lineRule="auto" w:after="60"/>
        <w:ind w:left="1984" w:hanging="1701"/>
      </w:pPr>
      <w:r>
        <w:rPr>
          <w:rFonts w:ascii="TH Sarabun New" w:hAnsi="TH Sarabun New" w:cs="TH Sarabun New" w:eastAsia="TH Sarabun New"/>
          <w:b/>
          <w:i w:val="0"/>
          <w:sz w:val="32"/>
          <w:szCs w:val="32"/>
        </w:rPr>
        <w:t>TfL</w:t>
      </w:r>
      <w:r>
        <w:rPr>
          <w:rFonts w:ascii="TH Sarabun New" w:hAnsi="TH Sarabun New" w:cs="TH Sarabun New" w:eastAsia="TH Sarabun New"/>
          <w:b w:val="0"/>
          <w:i w:val="0"/>
          <w:sz w:val="32"/>
          <w:szCs w:val="32"/>
        </w:rPr>
        <w:tab/>
        <w:t>Transport for London</w:t>
      </w:r>
    </w:p>
    <w:p>
      <w:pPr>
        <w:spacing w:line="240" w:lineRule="auto" w:after="60"/>
        <w:ind w:left="1984" w:hanging="1701"/>
      </w:pPr>
      <w:r>
        <w:rPr>
          <w:rFonts w:ascii="TH Sarabun New" w:hAnsi="TH Sarabun New" w:cs="TH Sarabun New" w:eastAsia="TH Sarabun New"/>
          <w:b/>
          <w:i w:val="0"/>
          <w:sz w:val="32"/>
          <w:szCs w:val="32"/>
        </w:rPr>
        <w:t>TOMP-API</w:t>
      </w:r>
      <w:r>
        <w:rPr>
          <w:rFonts w:ascii="TH Sarabun New" w:hAnsi="TH Sarabun New" w:cs="TH Sarabun New" w:eastAsia="TH Sarabun New"/>
          <w:b w:val="0"/>
          <w:i w:val="0"/>
          <w:sz w:val="32"/>
          <w:szCs w:val="32"/>
        </w:rPr>
        <w:tab/>
        <w:t>Transport Operator MaaS Provider API</w:t>
      </w:r>
    </w:p>
    <w:p>
      <w:pPr>
        <w:spacing w:line="240" w:lineRule="auto" w:after="60"/>
        <w:ind w:left="1984" w:hanging="1701"/>
      </w:pPr>
      <w:r>
        <w:rPr>
          <w:rFonts w:ascii="TH Sarabun New" w:hAnsi="TH Sarabun New" w:cs="TH Sarabun New" w:eastAsia="TH Sarabun New"/>
          <w:b/>
          <w:i w:val="0"/>
          <w:sz w:val="32"/>
          <w:szCs w:val="32"/>
        </w:rPr>
        <w:t>TOD</w:t>
      </w:r>
      <w:r>
        <w:rPr>
          <w:rFonts w:ascii="TH Sarabun New" w:hAnsi="TH Sarabun New" w:cs="TH Sarabun New" w:eastAsia="TH Sarabun New"/>
          <w:b w:val="0"/>
          <w:i w:val="0"/>
          <w:sz w:val="32"/>
          <w:szCs w:val="32"/>
        </w:rPr>
        <w:tab/>
        <w:t>Transit-Oriented Development</w:t>
      </w:r>
    </w:p>
    <w:p>
      <w:pPr>
        <w:spacing w:line="240" w:lineRule="auto" w:after="60"/>
        <w:ind w:left="1984" w:hanging="1701"/>
      </w:pPr>
      <w:r>
        <w:rPr>
          <w:rFonts w:ascii="TH Sarabun New" w:hAnsi="TH Sarabun New" w:cs="TH Sarabun New" w:eastAsia="TH Sarabun New"/>
          <w:b/>
          <w:i w:val="0"/>
          <w:sz w:val="32"/>
          <w:szCs w:val="32"/>
        </w:rPr>
        <w:t>UAT</w:t>
      </w:r>
      <w:r>
        <w:rPr>
          <w:rFonts w:ascii="TH Sarabun New" w:hAnsi="TH Sarabun New" w:cs="TH Sarabun New" w:eastAsia="TH Sarabun New"/>
          <w:b w:val="0"/>
          <w:i w:val="0"/>
          <w:sz w:val="32"/>
          <w:szCs w:val="32"/>
        </w:rPr>
        <w:tab/>
        <w:t>User Acceptance Testing</w:t>
      </w:r>
    </w:p>
    <w:p>
      <w:pPr>
        <w:spacing w:line="240" w:lineRule="auto" w:after="60"/>
        <w:ind w:left="1984" w:hanging="1701"/>
      </w:pPr>
      <w:r>
        <w:rPr>
          <w:rFonts w:ascii="TH Sarabun New" w:hAnsi="TH Sarabun New" w:cs="TH Sarabun New" w:eastAsia="TH Sarabun New"/>
          <w:b/>
          <w:i w:val="0"/>
          <w:sz w:val="32"/>
          <w:szCs w:val="32"/>
        </w:rPr>
        <w:t>WPL</w:t>
      </w:r>
      <w:r>
        <w:rPr>
          <w:rFonts w:ascii="TH Sarabun New" w:hAnsi="TH Sarabun New" w:cs="TH Sarabun New" w:eastAsia="TH Sarabun New"/>
          <w:b w:val="0"/>
          <w:i w:val="0"/>
          <w:sz w:val="32"/>
          <w:szCs w:val="32"/>
        </w:rPr>
        <w:tab/>
        <w:t>Workplace Parking Levy</w:t>
      </w:r>
    </w:p>
    <w:p>
      <w:pPr>
        <w:spacing w:line="240" w:lineRule="auto" w:after="60"/>
        <w:ind w:left="1984" w:hanging="1701"/>
      </w:pPr>
      <w:r>
        <w:rPr>
          <w:rFonts w:ascii="TH Sarabun New" w:hAnsi="TH Sarabun New" w:cs="TH Sarabun New" w:eastAsia="TH Sarabun New"/>
          <w:b/>
          <w:i w:val="0"/>
          <w:sz w:val="32"/>
          <w:szCs w:val="32"/>
        </w:rPr>
        <w:t>รฟม.</w:t>
      </w:r>
      <w:r>
        <w:rPr>
          <w:rFonts w:ascii="TH Sarabun New" w:hAnsi="TH Sarabun New" w:cs="TH Sarabun New" w:eastAsia="TH Sarabun New"/>
          <w:b w:val="0"/>
          <w:i w:val="0"/>
          <w:sz w:val="32"/>
          <w:szCs w:val="32"/>
        </w:rPr>
        <w:tab/>
        <w:t>การรถไฟฟ้าขนส่งมวลชนแห่งประเทศไทย</w:t>
      </w:r>
    </w:p>
    <w:p>
      <w:pPr>
        <w:spacing w:line="240" w:lineRule="auto" w:after="60"/>
        <w:ind w:left="1984" w:hanging="1701"/>
      </w:pPr>
      <w:r>
        <w:rPr>
          <w:rFonts w:ascii="TH Sarabun New" w:hAnsi="TH Sarabun New" w:cs="TH Sarabun New" w:eastAsia="TH Sarabun New"/>
          <w:b/>
          <w:i w:val="0"/>
          <w:sz w:val="32"/>
          <w:szCs w:val="32"/>
        </w:rPr>
        <w:t>สนข./OTP</w:t>
      </w:r>
      <w:r>
        <w:rPr>
          <w:rFonts w:ascii="TH Sarabun New" w:hAnsi="TH Sarabun New" w:cs="TH Sarabun New" w:eastAsia="TH Sarabun New"/>
          <w:b w:val="0"/>
          <w:i w:val="0"/>
          <w:sz w:val="32"/>
          <w:szCs w:val="32"/>
        </w:rPr>
        <w:tab/>
        <w:t>สำนักงานนโยบายและแผนการขนส่งและจราจร · Office of Transport and Traffic Policy and Planning</w:t>
      </w:r>
    </w:p>
    <w:p>
      <w:pPr>
        <w:spacing w:line="240" w:lineRule="auto" w:after="60"/>
        <w:ind w:left="1984" w:hanging="1701"/>
      </w:pPr>
      <w:r>
        <w:rPr>
          <w:rFonts w:ascii="TH Sarabun New" w:hAnsi="TH Sarabun New" w:cs="TH Sarabun New" w:eastAsia="TH Sarabun New"/>
          <w:b/>
          <w:i w:val="0"/>
          <w:sz w:val="32"/>
          <w:szCs w:val="32"/>
        </w:rPr>
        <w:t>สศช.</w:t>
      </w:r>
      <w:r>
        <w:rPr>
          <w:rFonts w:ascii="TH Sarabun New" w:hAnsi="TH Sarabun New" w:cs="TH Sarabun New" w:eastAsia="TH Sarabun New"/>
          <w:b w:val="0"/>
          <w:i w:val="0"/>
          <w:sz w:val="32"/>
          <w:szCs w:val="32"/>
        </w:rPr>
        <w:tab/>
        <w:t>สำนักงานสภาพัฒนาการเศรษฐกิจและสังคมแห่งชาติ</w:t>
      </w:r>
    </w:p>
    <w:p>
      <w:r>
        <w:br w:type="page"/>
      </w:r>
    </w:p>
    <w:p>
      <w:pPr>
        <w:sectPr>
          <w:footerReference w:type="default" r:id="rId9"/>
          <w:headerReference w:type="default" r:id="rId24"/>
          <w:headerReference w:type="first" r:id="rId25"/>
          <w:footerReference w:type="first" r:id="rId26"/>
          <w:pgSz w:w="11906" w:h="16838"/>
          <w:pgMar w:top="2160" w:right="1440" w:bottom="1440" w:left="2160" w:header="720" w:footer="720" w:gutter="0"/>
          <w:cols w:space="720"/>
          <w:docGrid w:linePitch="360"/>
          <w:pgNumType w:fmt="thaiLetters" w:start="1"/>
        </w:sectPr>
      </w:pPr>
    </w:p>
    <w:p>
      <w:r>
        <w:br w:type="page"/>
      </w:r>
    </w:p>
    <w:p>
      <w:pPr>
        <w:spacing w:before="0" w:after="0" w:line="240" w:lineRule="auto"/>
        <w:jc w:val="center"/>
      </w:pPr>
      <w:r>
        <w:rPr>
          <w:rFonts w:ascii="TH Sarabun New" w:hAnsi="TH Sarabun New" w:cs="TH Sarabun New" w:eastAsia="TH Sarabun New"/>
          <w:b/>
          <w:i w:val="0"/>
          <w:sz w:val="40"/>
          <w:szCs w:val="40"/>
        </w:rPr>
        <w:t>บทที่ ๑</w:t>
      </w:r>
    </w:p>
    <w:p>
      <w:pPr>
        <w:spacing w:before="0" w:after="360" w:line="240" w:lineRule="auto"/>
        <w:jc w:val="center"/>
      </w:pPr>
      <w:r>
        <w:rPr>
          <w:rFonts w:ascii="TH Sarabun New" w:hAnsi="TH Sarabun New" w:cs="TH Sarabun New" w:eastAsia="TH Sarabun New"/>
          <w:b/>
          <w:i w:val="0"/>
          <w:sz w:val="40"/>
          <w:szCs w:val="40"/>
        </w:rPr>
        <w:t>บทนำ</w:t>
      </w:r>
    </w:p>
    <w:p>
      <w:pPr>
        <w:spacing w:before="240" w:after="80" w:line="240" w:lineRule="auto"/>
        <w:jc w:val="center"/>
      </w:pPr>
      <w:r>
        <w:drawing>
          <wp:inline xmlns:a="http://schemas.openxmlformats.org/drawingml/2006/main" xmlns:pic="http://schemas.openxmlformats.org/drawingml/2006/picture">
            <wp:extent cx="5040000" cy="2835000"/>
            <wp:docPr id="1" name="Picture 1"/>
            <wp:cNvGraphicFramePr>
              <a:graphicFrameLocks noChangeAspect="1"/>
            </wp:cNvGraphicFramePr>
            <a:graphic>
              <a:graphicData uri="http://schemas.openxmlformats.org/drawingml/2006/picture">
                <pic:pic>
                  <pic:nvPicPr>
                    <pic:cNvPr id="0" name="slide-01.png"/>
                    <pic:cNvPicPr/>
                  </pic:nvPicPr>
                  <pic:blipFill>
                    <a:blip r:embed="rId12"/>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๑.๑ ภาพรวมโครงการ MOT Mobility · นำร่องสมุทรปราการ</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ปกแนวคิด MOT Mobility, mot-mobility.pages.dev</w:t>
      </w:r>
    </w:p>
    <w:p>
      <w:pPr>
        <w:spacing w:before="240" w:after="120" w:line="240" w:lineRule="auto"/>
        <w:ind w:left="0"/>
        <w:jc w:val="left"/>
      </w:pPr>
      <w:r>
        <w:rPr>
          <w:rFonts w:ascii="TH Sarabun New" w:hAnsi="TH Sarabun New" w:cs="TH Sarabun New" w:eastAsia="TH Sarabun New"/>
          <w:b/>
          <w:i w:val="0"/>
          <w:sz w:val="36"/>
          <w:szCs w:val="36"/>
        </w:rPr>
        <w:t>๑.๑ ความเป็นมาและความสำคัญของปัญหา</w:t>
      </w:r>
    </w:p>
    <w:p>
      <w:pPr>
        <w:spacing w:line="240" w:lineRule="auto" w:after="0"/>
        <w:ind w:firstLine="720"/>
        <w:jc w:val="both"/>
      </w:pPr>
      <w:r>
        <w:rPr>
          <w:rFonts w:ascii="TH Sarabun New" w:hAnsi="TH Sarabun New" w:cs="TH Sarabun New" w:eastAsia="TH Sarabun New"/>
          <w:b w:val="0"/>
          <w:i w:val="0"/>
          <w:sz w:val="32"/>
          <w:szCs w:val="32"/>
        </w:rPr>
        <w:t>การคมนาคมขนส่งเป็นโครงสร้างพื้นฐานที่สำคัญต่อการพัฒนาเศรษฐกิจและคุณภาพชีวิตของประชาชน ในช่วงสองทศวรรษที่ผ่านมา ประเทศไทยได้ลงทุนในระบบขนส่งสาธารณะอย่างมหาศาล โดยเฉพาะระบบรถไฟฟ้าในเขตกรุงเทพมหานครและปริมณฑลที่ขยายตัวอย่างรวดเร็วที่สุดในอาเซียน ปัจจุบันมีโครงข่ายมากกว่า ๑๒ เส้นทาง รวมความยาวกว่า ๒๕๐ กิโลเมตร อย่างไรก็ตาม ปัญหาการจราจรติดขัด มลพิษทางอากาศ (โดยเฉพาะ PM2.5) และความไม่สะดวกในการเชื่อมต่อการเดินทาง (First/Last Mile) ยังคงเป็นปัญหาที่รุนแรง</w:t>
      </w:r>
    </w:p>
    <w:p>
      <w:pPr>
        <w:spacing w:line="240" w:lineRule="auto" w:after="0"/>
        <w:ind w:firstLine="720"/>
        <w:jc w:val="both"/>
      </w:pPr>
      <w:r>
        <w:rPr>
          <w:rFonts w:ascii="TH Sarabun New" w:hAnsi="TH Sarabun New" w:cs="TH Sarabun New" w:eastAsia="TH Sarabun New"/>
          <w:b w:val="0"/>
          <w:i w:val="0"/>
          <w:sz w:val="32"/>
          <w:szCs w:val="32"/>
        </w:rPr>
        <w:t>การจัดอันดับ TomTom Traffic Index พ.ศ. ๒๕๖๖ ระบุว่ากรุงเทพมหานครติดอันดับเมืองที่มีการจราจรหนาแน่นที่สุดในโลก ขณะที่ค่าฝุ่น PM2.5 ในเขตเมืองและพื้นที่อุตสาหกรรม (เช่น จังหวัดสมุทรปราการที่มีนิคมอุตสาหกรรมบางปูและบางพลี) มีปริมาณเกินมาตรฐานมากกว่า ๖๐ วันต่อปี (กรมควบคุมมลพิษ, ๒๕๖๖) ปัญหาดังกล่าวสะท้อนความล้มเหลวเชิงระบบ มากกว่าจะเป็นปัญหาของหน่วยงานใดหน่วยงานหนึ่ง</w:t>
      </w:r>
    </w:p>
    <w:p>
      <w:pPr>
        <w:spacing w:before="240" w:after="80" w:line="240" w:lineRule="auto"/>
        <w:jc w:val="center"/>
      </w:pPr>
      <w:r>
        <w:drawing>
          <wp:inline xmlns:a="http://schemas.openxmlformats.org/drawingml/2006/main" xmlns:pic="http://schemas.openxmlformats.org/drawingml/2006/picture">
            <wp:extent cx="5040000" cy="2835000"/>
            <wp:docPr id="2" name="Picture 2"/>
            <wp:cNvGraphicFramePr>
              <a:graphicFrameLocks noChangeAspect="1"/>
            </wp:cNvGraphicFramePr>
            <a:graphic>
              <a:graphicData uri="http://schemas.openxmlformats.org/drawingml/2006/picture">
                <pic:pic>
                  <pic:nvPicPr>
                    <pic:cNvPr id="0" name="slide-03.png"/>
                    <pic:cNvPicPr/>
                  </pic:nvPicPr>
                  <pic:blipFill>
                    <a:blip r:embed="rId13"/>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๑.๒ ปัญหาเขตเมืองที่สะท้อนในจังหวัดสมุทรปราการ</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ประมวลผลจากข้อมูล TomTom (๒๕๖๗) · กรมควบคุมมลพิษ (๒๕๖๖) · กรมขนส่งทางบก</w:t>
      </w:r>
    </w:p>
    <w:p>
      <w:pPr>
        <w:spacing w:line="240" w:lineRule="auto" w:after="0"/>
        <w:ind w:firstLine="720"/>
        <w:jc w:val="both"/>
      </w:pPr>
      <w:r>
        <w:rPr>
          <w:rFonts w:ascii="TH Sarabun New" w:hAnsi="TH Sarabun New" w:cs="TH Sarabun New" w:eastAsia="TH Sarabun New"/>
          <w:b w:val="0"/>
          <w:i w:val="0"/>
          <w:sz w:val="32"/>
          <w:szCs w:val="32"/>
        </w:rPr>
        <w:t>ในวันที่ ๒๗ ธันวาคม พ.ศ. ๒๕๖๘ ประเทศไทยได้ประกาศใช้พระราชบัญญัติระบบตั๋วร่วม พ.ศ. ๒๕๖๘ ในราชกิจจานุเบกษา ซึ่งเป็นกรอบกฎหมายสำคัญที่เปิดทางให้เกิดการบูรณาการระบบขนส่งสาธารณะแบบครบวงจร อย่างไรก็ดี การเปลี่ยนแปลงที่แท้จริงจะเกิดขึ้นก็ต่อเมื่อมีการดำเนินงานในระดับปฏิบัติที่ครอบคลุมทั้งระบบ ไม่ใช่เพียงการพัฒนาเทคโนโลยีเพียงด้านเดียวเช่นกรณีของ Whim Helsinki ที่ล้มละลายในเดือนมีนาคม พ.ศ. ๒๕๖๗ แม้จะเป็นผู้บุกเบิกแนวคิด MaaS ก็ตาม</w:t>
      </w:r>
    </w:p>
    <w:p>
      <w:pPr>
        <w:spacing w:line="240" w:lineRule="auto" w:after="0"/>
        <w:ind w:firstLine="720"/>
        <w:jc w:val="both"/>
      </w:pPr>
      <w:r>
        <w:rPr>
          <w:rFonts w:ascii="TH Sarabun New" w:hAnsi="TH Sarabun New" w:cs="TH Sarabun New" w:eastAsia="TH Sarabun New"/>
          <w:b w:val="0"/>
          <w:i w:val="0"/>
          <w:sz w:val="32"/>
          <w:szCs w:val="32"/>
        </w:rPr>
        <w:t>รายงานฉบับนี้จึงเสนอกรอบแนวคิดการดำเนินงาน ๔ เสาหลักไปพร้อมกัน โดยใช้จังหวัดสมุทรปราการเป็นพื้นที่นำร่อง เนื่องจากเป็นจังหวัดที่มีโครงข่ายระบบขนส่งครบทุกประเภท มีนิคมอุตสาหกรรมขนาดใหญ่ และอยู่ใกล้กระทรวงคมนาคม ซึ่งจะอำนวยความสะดวกในการประสานงานและติดตามผลการดำเนินงาน</w:t>
      </w:r>
    </w:p>
    <w:p>
      <w:pPr>
        <w:spacing w:before="240" w:after="120" w:line="240" w:lineRule="auto"/>
        <w:ind w:left="0"/>
        <w:jc w:val="left"/>
      </w:pPr>
      <w:r>
        <w:rPr>
          <w:rFonts w:ascii="TH Sarabun New" w:hAnsi="TH Sarabun New" w:cs="TH Sarabun New" w:eastAsia="TH Sarabun New"/>
          <w:b/>
          <w:i w:val="0"/>
          <w:sz w:val="36"/>
          <w:szCs w:val="36"/>
        </w:rPr>
        <w:t>๑.๒ วัตถุประสงค์ของการศึกษา</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เพื่อวิเคราะห์สถานภาพและปัญหาของระบบขนส่งสาธารณะในเขตเมือง โดยเฉพาะพื้นที่จังหวัดสมุทรปราการ</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เพื่อทบทวนกรอบแนวคิดและกรณีศึกษาที่เกี่ยวข้องกับ Mobility-as-a-Service (MaaS), Common Ticketing, Complete Streets และ Tax Nudges จากต่างประเทศ</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เพื่อพัฒนากรอบแนวคิด ๔ เสาหลักที่บูรณาการการแก้ปัญหาเชิงระบบ และเสนอแผนการดำเนินงานในพื้นที่นำร่องจังหวัดสมุทรปราการ ระยะ ๓ ปี (พ.ศ. ๒๕๗๐-๒๕๗๒)</w:t>
      </w:r>
    </w:p>
    <w:p>
      <w:pPr>
        <w:spacing w:line="240" w:lineRule="auto" w:after="80"/>
        <w:ind w:left="1134" w:hanging="425"/>
      </w:pPr>
      <w:r>
        <w:rPr>
          <w:rFonts w:ascii="TH Sarabun New" w:hAnsi="TH Sarabun New" w:cs="TH Sarabun New" w:eastAsia="TH Sarabun New"/>
          <w:b/>
          <w:i w:val="0"/>
          <w:sz w:val="32"/>
          <w:szCs w:val="32"/>
        </w:rPr>
        <w:t xml:space="preserve">๔.  </w:t>
      </w:r>
      <w:r>
        <w:rPr>
          <w:rFonts w:ascii="TH Sarabun New" w:hAnsi="TH Sarabun New" w:cs="TH Sarabun New" w:eastAsia="TH Sarabun New"/>
          <w:b w:val="0"/>
          <w:i w:val="0"/>
          <w:sz w:val="32"/>
          <w:szCs w:val="32"/>
        </w:rPr>
        <w:t>เพื่อวิเคราะห์งบประมาณ รายได้คาดการณ์ และอัตราส่วนผลตอบแทนต่อต้นทุน (Benefit-Cost Ratio)</w:t>
      </w:r>
    </w:p>
    <w:p>
      <w:pPr>
        <w:spacing w:line="240" w:lineRule="auto" w:after="80"/>
        <w:ind w:left="1134" w:hanging="425"/>
      </w:pPr>
      <w:r>
        <w:rPr>
          <w:rFonts w:ascii="TH Sarabun New" w:hAnsi="TH Sarabun New" w:cs="TH Sarabun New" w:eastAsia="TH Sarabun New"/>
          <w:b/>
          <w:i w:val="0"/>
          <w:sz w:val="32"/>
          <w:szCs w:val="32"/>
        </w:rPr>
        <w:t xml:space="preserve">๕.  </w:t>
      </w:r>
      <w:r>
        <w:rPr>
          <w:rFonts w:ascii="TH Sarabun New" w:hAnsi="TH Sarabun New" w:cs="TH Sarabun New" w:eastAsia="TH Sarabun New"/>
          <w:b w:val="0"/>
          <w:i w:val="0"/>
          <w:sz w:val="32"/>
          <w:szCs w:val="32"/>
        </w:rPr>
        <w:t>เพื่อจัดทำข้อเสนอแนะเชิงนโยบายต่อกระทรวงคมนาคม และหน่วยงานที่เกี่ยวข้อง</w:t>
      </w:r>
    </w:p>
    <w:p>
      <w:pPr>
        <w:spacing w:before="240" w:after="120" w:line="240" w:lineRule="auto"/>
        <w:ind w:left="0"/>
        <w:jc w:val="left"/>
      </w:pPr>
      <w:r>
        <w:rPr>
          <w:rFonts w:ascii="TH Sarabun New" w:hAnsi="TH Sarabun New" w:cs="TH Sarabun New" w:eastAsia="TH Sarabun New"/>
          <w:b/>
          <w:i w:val="0"/>
          <w:sz w:val="36"/>
          <w:szCs w:val="36"/>
        </w:rPr>
        <w:t>๑.๓ ขอบเขตของการศึกษา</w:t>
      </w:r>
    </w:p>
    <w:p>
      <w:pPr>
        <w:spacing w:before="160" w:after="80" w:line="240" w:lineRule="auto"/>
        <w:ind w:left="720"/>
        <w:jc w:val="left"/>
      </w:pPr>
      <w:r>
        <w:rPr>
          <w:rFonts w:ascii="TH Sarabun New" w:hAnsi="TH Sarabun New" w:cs="TH Sarabun New" w:eastAsia="TH Sarabun New"/>
          <w:b/>
          <w:i w:val="0"/>
          <w:sz w:val="32"/>
          <w:szCs w:val="32"/>
        </w:rPr>
        <w:t>๑.๓.๑ ขอบเขตด้านพื้นที่</w:t>
      </w:r>
    </w:p>
    <w:p>
      <w:pPr>
        <w:spacing w:line="240" w:lineRule="auto" w:after="0"/>
        <w:ind w:firstLine="720"/>
        <w:jc w:val="both"/>
      </w:pPr>
      <w:r>
        <w:rPr>
          <w:rFonts w:ascii="TH Sarabun New" w:hAnsi="TH Sarabun New" w:cs="TH Sarabun New" w:eastAsia="TH Sarabun New"/>
          <w:b w:val="0"/>
          <w:i w:val="0"/>
          <w:sz w:val="32"/>
          <w:szCs w:val="32"/>
        </w:rPr>
        <w:t>พื้นที่ศึกษาหลักคือจังหวัดสมุทรปราการ (พื้นที่ ๑,๐๐๔ ตารางกิโลเมตร ประชากร ๑.๓๖ ล้านคน รวมประชากรแฝง) โดยเปรียบเทียบกับจังหวัดนนทบุรี ปทุมธานี ภูเก็ต และเชียงใหม่ เพื่อให้เห็นบทเรียนและข้อดี-ข้อจำกัดของแต่ละพื้นที่</w:t>
      </w:r>
    </w:p>
    <w:p>
      <w:pPr>
        <w:spacing w:before="160" w:after="80" w:line="240" w:lineRule="auto"/>
        <w:ind w:left="720"/>
        <w:jc w:val="left"/>
      </w:pPr>
      <w:r>
        <w:rPr>
          <w:rFonts w:ascii="TH Sarabun New" w:hAnsi="TH Sarabun New" w:cs="TH Sarabun New" w:eastAsia="TH Sarabun New"/>
          <w:b/>
          <w:i w:val="0"/>
          <w:sz w:val="32"/>
          <w:szCs w:val="32"/>
        </w:rPr>
        <w:t>๑.๓.๒ ขอบเขตด้านเวลา</w:t>
      </w:r>
    </w:p>
    <w:p>
      <w:pPr>
        <w:spacing w:line="240" w:lineRule="auto" w:after="0"/>
        <w:ind w:firstLine="720"/>
        <w:jc w:val="both"/>
      </w:pPr>
      <w:r>
        <w:rPr>
          <w:rFonts w:ascii="TH Sarabun New" w:hAnsi="TH Sarabun New" w:cs="TH Sarabun New" w:eastAsia="TH Sarabun New"/>
          <w:b w:val="0"/>
          <w:i w:val="0"/>
          <w:sz w:val="32"/>
          <w:szCs w:val="32"/>
        </w:rPr>
        <w:t>การศึกษาครอบคลุมแผนการดำเนินงานระยะ ๑๐ ปี (พ.ศ. ๒๕๖๙-๒๕๗๖) แบ่งเป็น ๓ ระยะ ได้แก่ ระยะวางฐานราก ระยะนำร่องสมุทรปราการ และระยะขยายผลทั่วประเทศ</w:t>
      </w:r>
    </w:p>
    <w:p>
      <w:pPr>
        <w:spacing w:before="160" w:after="80" w:line="240" w:lineRule="auto"/>
        <w:ind w:left="720"/>
        <w:jc w:val="left"/>
      </w:pPr>
      <w:r>
        <w:rPr>
          <w:rFonts w:ascii="TH Sarabun New" w:hAnsi="TH Sarabun New" w:cs="TH Sarabun New" w:eastAsia="TH Sarabun New"/>
          <w:b/>
          <w:i w:val="0"/>
          <w:sz w:val="32"/>
          <w:szCs w:val="32"/>
        </w:rPr>
        <w:t>๑.๓.๓ ขอบเขตด้านเนื้อหา</w:t>
      </w:r>
    </w:p>
    <w:p>
      <w:pPr>
        <w:spacing w:line="240" w:lineRule="auto" w:after="0"/>
        <w:ind w:firstLine="720"/>
        <w:jc w:val="both"/>
      </w:pPr>
      <w:r>
        <w:rPr>
          <w:rFonts w:ascii="TH Sarabun New" w:hAnsi="TH Sarabun New" w:cs="TH Sarabun New" w:eastAsia="TH Sarabun New"/>
          <w:b w:val="0"/>
          <w:i w:val="0"/>
          <w:sz w:val="32"/>
          <w:szCs w:val="32"/>
        </w:rPr>
        <w:t>เน้นการศึกษา ๔ เสาหลัก ได้แก่ ระบบตั๋วร่วม แอปพลิเคชัน MaaS Complete Streets และมาตรการทางภาษี โดยไม่ครอบคลุมการศึกษาเชิงเทคนิคของระบบเทคโนโลยี หรือการออกแบบทางวิศวกรรมโดยละเอียด</w:t>
      </w:r>
    </w:p>
    <w:p>
      <w:pPr>
        <w:spacing w:before="240" w:after="120" w:line="240" w:lineRule="auto"/>
        <w:ind w:left="0"/>
        <w:jc w:val="left"/>
      </w:pPr>
      <w:r>
        <w:rPr>
          <w:rFonts w:ascii="TH Sarabun New" w:hAnsi="TH Sarabun New" w:cs="TH Sarabun New" w:eastAsia="TH Sarabun New"/>
          <w:b/>
          <w:i w:val="0"/>
          <w:sz w:val="36"/>
          <w:szCs w:val="36"/>
        </w:rPr>
        <w:t>๑.๔ ประโยชน์ที่คาดว่าจะได้รับ</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กรอบนโยบายและแผนการดำเนินงานที่สามารถนำไปใช้เป็นแนวทางในการกำหนดยุทธศาสตร์ของกระทรวงคมนาคม</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การลดลงของการใช้รถยนต์ส่วนตัวในเขตเมือง การเพิ่มขึ้นของการใช้ระบบขนส่งสาธารณะ และการลดลงของการปล่อยก๊าซเรือนกระจก</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การยกระดับคุณภาพชีวิตของประชาชนในจังหวัดสมุทรปราการ ผ่านการเชื่อมต่อการเดินทางที่สะดวกและมีค่าใช้จ่ายที่เหมาะสม</w:t>
      </w:r>
    </w:p>
    <w:p>
      <w:pPr>
        <w:spacing w:line="240" w:lineRule="auto" w:after="80"/>
        <w:ind w:left="1134" w:hanging="425"/>
      </w:pPr>
      <w:r>
        <w:rPr>
          <w:rFonts w:ascii="TH Sarabun New" w:hAnsi="TH Sarabun New" w:cs="TH Sarabun New" w:eastAsia="TH Sarabun New"/>
          <w:b/>
          <w:i w:val="0"/>
          <w:sz w:val="32"/>
          <w:szCs w:val="32"/>
        </w:rPr>
        <w:t xml:space="preserve">๔.  </w:t>
      </w:r>
      <w:r>
        <w:rPr>
          <w:rFonts w:ascii="TH Sarabun New" w:hAnsi="TH Sarabun New" w:cs="TH Sarabun New" w:eastAsia="TH Sarabun New"/>
          <w:b w:val="0"/>
          <w:i w:val="0"/>
          <w:sz w:val="32"/>
          <w:szCs w:val="32"/>
        </w:rPr>
        <w:t>การสร้างรายได้ใหม่ให้รัฐผ่านมาตรการภาษีและค่าธรรมเนียมที่เกี่ยวข้องกับการใช้รถยนต์ส่วนตัวในเขตเมือง ซึ่งจะนำกลับมาลงทุนในระบบขนส่งสาธารณะ</w:t>
      </w:r>
    </w:p>
    <w:p>
      <w:pPr>
        <w:spacing w:before="240" w:after="120" w:line="240" w:lineRule="auto"/>
        <w:ind w:left="0"/>
        <w:jc w:val="left"/>
      </w:pPr>
      <w:r>
        <w:rPr>
          <w:rFonts w:ascii="TH Sarabun New" w:hAnsi="TH Sarabun New" w:cs="TH Sarabun New" w:eastAsia="TH Sarabun New"/>
          <w:b/>
          <w:i w:val="0"/>
          <w:sz w:val="36"/>
          <w:szCs w:val="36"/>
        </w:rPr>
        <w:t>๑.๕ นิยามศัพท์เฉพาะ</w:t>
      </w:r>
    </w:p>
    <w:p>
      <w:pPr>
        <w:spacing w:line="240" w:lineRule="auto" w:after="80"/>
        <w:ind w:firstLine="720"/>
      </w:pPr>
      <w:r>
        <w:rPr>
          <w:rFonts w:ascii="TH Sarabun New" w:hAnsi="TH Sarabun New" w:cs="TH Sarabun New" w:eastAsia="TH Sarabun New"/>
          <w:b/>
          <w:i w:val="0"/>
          <w:sz w:val="32"/>
          <w:szCs w:val="32"/>
        </w:rPr>
        <w:t xml:space="preserve">Mobility-as-a-Service (MaaS) หมายถึง </w:t>
      </w:r>
      <w:r>
        <w:rPr>
          <w:rFonts w:ascii="TH Sarabun New" w:hAnsi="TH Sarabun New" w:cs="TH Sarabun New" w:eastAsia="TH Sarabun New"/>
          <w:b w:val="0"/>
          <w:i w:val="0"/>
          <w:sz w:val="32"/>
          <w:szCs w:val="32"/>
        </w:rPr>
        <w:t>แนวคิดการให้บริการการเดินทางแบบบูรณาการ โดยรวมระบบขนส่งสาธารณะ ระบบขนส่งส่วนบุคคล และระบบขนส่งแบบแบ่งปัน (sharing economy) ไว้ในแพลตฟอร์มเดียว ผู้ใช้สามารถวางแผน จองตั๋ว และชำระเงินผ่านแอปพลิเคชันเดียว</w:t>
      </w:r>
    </w:p>
    <w:p>
      <w:pPr>
        <w:spacing w:line="240" w:lineRule="auto" w:after="80"/>
        <w:ind w:firstLine="720"/>
      </w:pPr>
      <w:r>
        <w:rPr>
          <w:rFonts w:ascii="TH Sarabun New" w:hAnsi="TH Sarabun New" w:cs="TH Sarabun New" w:eastAsia="TH Sarabun New"/>
          <w:b/>
          <w:i w:val="0"/>
          <w:sz w:val="32"/>
          <w:szCs w:val="32"/>
        </w:rPr>
        <w:t xml:space="preserve">Common Ticketing (ระบบตั๋วร่วม) หมายถึง </w:t>
      </w:r>
      <w:r>
        <w:rPr>
          <w:rFonts w:ascii="TH Sarabun New" w:hAnsi="TH Sarabun New" w:cs="TH Sarabun New" w:eastAsia="TH Sarabun New"/>
          <w:b w:val="0"/>
          <w:i w:val="0"/>
          <w:sz w:val="32"/>
          <w:szCs w:val="32"/>
        </w:rPr>
        <w:t>ระบบตั๋วร่วมที่ผู้โดยสารสามารถใช้บัตรหรือวิธีการชำระเงินเดียวกันในการเดินทางผ่านระบบขนส่งหลายประเภท (รถไฟฟ้า รถเมล์ เรือ ฯลฯ) โดยมีการคำนวณค่าโดยสารแบบ Account-Based Ticketing (ABT)</w:t>
      </w:r>
    </w:p>
    <w:p>
      <w:pPr>
        <w:spacing w:line="240" w:lineRule="auto" w:after="80"/>
        <w:ind w:firstLine="720"/>
      </w:pPr>
      <w:r>
        <w:rPr>
          <w:rFonts w:ascii="TH Sarabun New" w:hAnsi="TH Sarabun New" w:cs="TH Sarabun New" w:eastAsia="TH Sarabun New"/>
          <w:b/>
          <w:i w:val="0"/>
          <w:sz w:val="32"/>
          <w:szCs w:val="32"/>
        </w:rPr>
        <w:t xml:space="preserve">EMV Open-loop หมายถึง </w:t>
      </w:r>
      <w:r>
        <w:rPr>
          <w:rFonts w:ascii="TH Sarabun New" w:hAnsi="TH Sarabun New" w:cs="TH Sarabun New" w:eastAsia="TH Sarabun New"/>
          <w:b w:val="0"/>
          <w:i w:val="0"/>
          <w:sz w:val="32"/>
          <w:szCs w:val="32"/>
        </w:rPr>
        <w:t>มาตรฐานการชำระเงินที่ผู้โดยสารสามารถใช้บัตรเครดิต/เดบิตของธนาคารใดก็ได้ แตะที่ประตูตรวจตั๋ว (contactless) โดยไม่ต้องซื้อบัตรเฉพาะ</w:t>
      </w:r>
    </w:p>
    <w:p>
      <w:pPr>
        <w:spacing w:line="240" w:lineRule="auto" w:after="80"/>
        <w:ind w:firstLine="720"/>
      </w:pPr>
      <w:r>
        <w:rPr>
          <w:rFonts w:ascii="TH Sarabun New" w:hAnsi="TH Sarabun New" w:cs="TH Sarabun New" w:eastAsia="TH Sarabun New"/>
          <w:b/>
          <w:i w:val="0"/>
          <w:sz w:val="32"/>
          <w:szCs w:val="32"/>
        </w:rPr>
        <w:t xml:space="preserve">Complete Streets หมายถึง </w:t>
      </w:r>
      <w:r>
        <w:rPr>
          <w:rFonts w:ascii="TH Sarabun New" w:hAnsi="TH Sarabun New" w:cs="TH Sarabun New" w:eastAsia="TH Sarabun New"/>
          <w:b w:val="0"/>
          <w:i w:val="0"/>
          <w:sz w:val="32"/>
          <w:szCs w:val="32"/>
        </w:rPr>
        <w:t>แนวคิดการออกแบบถนนที่คำนึงถึงผู้ใช้ทุกประเภท ทั้งคนเดินเท้า ผู้ใช้จักรยาน ผู้ใช้รถสาธารณะ และผู้ใช้รถยนต์ โดยจัดสรรพื้นที่ทางเท้า ทางจักรยาน และเลนรถสาธารณะอย่างเหมาะสม</w:t>
      </w:r>
    </w:p>
    <w:p>
      <w:pPr>
        <w:spacing w:line="240" w:lineRule="auto" w:after="80"/>
        <w:ind w:firstLine="720"/>
      </w:pPr>
      <w:r>
        <w:rPr>
          <w:rFonts w:ascii="TH Sarabun New" w:hAnsi="TH Sarabun New" w:cs="TH Sarabun New" w:eastAsia="TH Sarabun New"/>
          <w:b/>
          <w:i w:val="0"/>
          <w:sz w:val="32"/>
          <w:szCs w:val="32"/>
        </w:rPr>
        <w:t xml:space="preserve">Road Diet หมายถึง </w:t>
      </w:r>
      <w:r>
        <w:rPr>
          <w:rFonts w:ascii="TH Sarabun New" w:hAnsi="TH Sarabun New" w:cs="TH Sarabun New" w:eastAsia="TH Sarabun New"/>
          <w:b w:val="0"/>
          <w:i w:val="0"/>
          <w:sz w:val="32"/>
          <w:szCs w:val="32"/>
        </w:rPr>
        <w:t>การลดจำนวนเลนรถยนต์ในถนน (เช่น จาก ๔ เลน เหลือ ๓ เลน) เพื่อใช้พื้นที่ที่ลดลงสำหรับทางเท้า ทางจักรยาน หรือเลนรถสาธารณะ</w:t>
      </w:r>
    </w:p>
    <w:p>
      <w:pPr>
        <w:spacing w:line="240" w:lineRule="auto" w:after="80"/>
        <w:ind w:firstLine="720"/>
      </w:pPr>
      <w:r>
        <w:rPr>
          <w:rFonts w:ascii="TH Sarabun New" w:hAnsi="TH Sarabun New" w:cs="TH Sarabun New" w:eastAsia="TH Sarabun New"/>
          <w:b/>
          <w:i w:val="0"/>
          <w:sz w:val="32"/>
          <w:szCs w:val="32"/>
        </w:rPr>
        <w:t xml:space="preserve">ERP (Electronic Road Pricing) หมายถึง </w:t>
      </w:r>
      <w:r>
        <w:rPr>
          <w:rFonts w:ascii="TH Sarabun New" w:hAnsi="TH Sarabun New" w:cs="TH Sarabun New" w:eastAsia="TH Sarabun New"/>
          <w:b w:val="0"/>
          <w:i w:val="0"/>
          <w:sz w:val="32"/>
          <w:szCs w:val="32"/>
        </w:rPr>
        <w:t>ระบบเก็บค่าธรรมเนียมการใช้ถนนในเขตศูนย์กลางธุรกิจ (CBD) แบบอิเล็กทรอนิกส์ เพื่อลดความหนาแน่นของรถยนต์ในชั่วโมงเร่งด่วน</w:t>
      </w:r>
    </w:p>
    <w:p>
      <w:pPr>
        <w:spacing w:line="240" w:lineRule="auto" w:after="80"/>
        <w:ind w:firstLine="720"/>
      </w:pPr>
      <w:r>
        <w:rPr>
          <w:rFonts w:ascii="TH Sarabun New" w:hAnsi="TH Sarabun New" w:cs="TH Sarabun New" w:eastAsia="TH Sarabun New"/>
          <w:b/>
          <w:i w:val="0"/>
          <w:sz w:val="32"/>
          <w:szCs w:val="32"/>
        </w:rPr>
        <w:t xml:space="preserve">Benefit-Cost Ratio (BCR) หมายถึง </w:t>
      </w:r>
      <w:r>
        <w:rPr>
          <w:rFonts w:ascii="TH Sarabun New" w:hAnsi="TH Sarabun New" w:cs="TH Sarabun New" w:eastAsia="TH Sarabun New"/>
          <w:b w:val="0"/>
          <w:i w:val="0"/>
          <w:sz w:val="32"/>
          <w:szCs w:val="32"/>
        </w:rPr>
        <w:t>อัตราส่วนผลตอบแทนต่อต้นทุน ใช้ประเมินความคุ้มค่าของโครงการลงทุน ค่า BCR &gt; ๑ หมายถึงโครงการมีความคุ้มค่า</w:t>
      </w:r>
    </w:p>
    <w:p>
      <w:r>
        <w:br w:type="page"/>
      </w:r>
    </w:p>
    <w:p>
      <w:pPr>
        <w:spacing w:before="0" w:after="0" w:line="240" w:lineRule="auto"/>
        <w:jc w:val="center"/>
      </w:pPr>
      <w:r>
        <w:rPr>
          <w:rFonts w:ascii="TH Sarabun New" w:hAnsi="TH Sarabun New" w:cs="TH Sarabun New" w:eastAsia="TH Sarabun New"/>
          <w:b/>
          <w:i w:val="0"/>
          <w:sz w:val="40"/>
          <w:szCs w:val="40"/>
        </w:rPr>
        <w:t>บทที่ ๒</w:t>
      </w:r>
    </w:p>
    <w:p>
      <w:pPr>
        <w:spacing w:before="0" w:after="360" w:line="240" w:lineRule="auto"/>
        <w:jc w:val="center"/>
      </w:pPr>
      <w:r>
        <w:rPr>
          <w:rFonts w:ascii="TH Sarabun New" w:hAnsi="TH Sarabun New" w:cs="TH Sarabun New" w:eastAsia="TH Sarabun New"/>
          <w:b/>
          <w:i w:val="0"/>
          <w:sz w:val="40"/>
          <w:szCs w:val="40"/>
        </w:rPr>
        <w:t>ทบทวนวรรณกรรมและกรณีศึกษา</w:t>
      </w:r>
    </w:p>
    <w:p>
      <w:pPr>
        <w:spacing w:before="240" w:after="120" w:line="240" w:lineRule="auto"/>
        <w:ind w:left="0"/>
        <w:jc w:val="left"/>
      </w:pPr>
      <w:r>
        <w:rPr>
          <w:rFonts w:ascii="TH Sarabun New" w:hAnsi="TH Sarabun New" w:cs="TH Sarabun New" w:eastAsia="TH Sarabun New"/>
          <w:b/>
          <w:i w:val="0"/>
          <w:sz w:val="36"/>
          <w:szCs w:val="36"/>
        </w:rPr>
        <w:t>๒.๑ แนวคิด Mobility-as-a-Service (MaaS)</w:t>
      </w:r>
    </w:p>
    <w:p>
      <w:pPr>
        <w:spacing w:line="240" w:lineRule="auto" w:after="0"/>
        <w:ind w:firstLine="720"/>
        <w:jc w:val="both"/>
      </w:pPr>
      <w:r>
        <w:rPr>
          <w:rFonts w:ascii="TH Sarabun New" w:hAnsi="TH Sarabun New" w:cs="TH Sarabun New" w:eastAsia="TH Sarabun New"/>
          <w:b w:val="0"/>
          <w:i w:val="0"/>
          <w:sz w:val="32"/>
          <w:szCs w:val="32"/>
        </w:rPr>
        <w:t>แนวคิด MaaS ได้รับการพัฒนาในประเทศฟินแลนด์ในช่วงปี ค.ศ. 2014 (พ.ศ. ๒๕๕๗) โดย Sampo Hietanen ผู้ก่อตั้งบริษัท MaaS Global ซึ่งพัฒนาแอปพลิเคชัน Whim ที่ให้บริการการเดินทางแบบ subscription model ในเมือง Helsinki แนวคิดหลักของ MaaS คือการเปลี่ยนพฤติกรรมการเดินทางจาก "การเป็นเจ้าของยานพาหนะ" (vehicle ownership) ไปสู่ "การใช้บริการการเดินทางตามต้องการ" (mobility-on-demand)</w:t>
      </w:r>
    </w:p>
    <w:p>
      <w:pPr>
        <w:spacing w:line="240" w:lineRule="auto" w:after="0"/>
        <w:ind w:firstLine="720"/>
        <w:jc w:val="both"/>
      </w:pPr>
      <w:r>
        <w:rPr>
          <w:rFonts w:ascii="TH Sarabun New" w:hAnsi="TH Sarabun New" w:cs="TH Sarabun New" w:eastAsia="TH Sarabun New"/>
          <w:b w:val="0"/>
          <w:i w:val="0"/>
          <w:sz w:val="32"/>
          <w:szCs w:val="32"/>
        </w:rPr>
        <w:t>Jana Sochor และคณะ (2018) ได้เสนอกรอบการประเมินระดับความสมบูรณ์ของระบบ MaaS ("MaaS Levels") ดังนี้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Level ๐: ระบบขนส่งแยกอิสระ (ไม่บูรณาการ)</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Level ๑: บูรณาการข้อมูล (information integration) เช่น Google Maps</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Level ๒: บูรณาการการจองและชำระเงิน (booking &amp; payment integration)</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Level ๓: บูรณาการการให้บริการ (service offer integration) แบบ subscription/bundle</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Level ๔: บูรณาการเชิงนโยบายและสังคม (societal goals integration) เช่น carbon pricing</w:t>
      </w:r>
    </w:p>
    <w:p>
      <w:pPr>
        <w:spacing w:line="240" w:lineRule="auto" w:after="0"/>
        <w:ind w:firstLine="720"/>
        <w:jc w:val="both"/>
      </w:pPr>
      <w:r>
        <w:rPr>
          <w:rFonts w:ascii="TH Sarabun New" w:hAnsi="TH Sarabun New" w:cs="TH Sarabun New" w:eastAsia="TH Sarabun New"/>
          <w:b w:val="0"/>
          <w:i w:val="0"/>
          <w:sz w:val="32"/>
          <w:szCs w:val="32"/>
        </w:rPr>
        <w:t>การล้มเหลวของ Whim Helsinki ที่ยื่นล้มละลายในเดือนมีนาคม พ.ศ. ๒๕๖๗ แสดงให้เห็นว่าโมเดล MaaS แบบ private-led ที่พยายาม "รวบรวมทุกอย่าง" ในแอปเดียว มีความเสี่ยงสูงเนื่องจากต้นทุนการดำเนินงานที่สูง และความไม่ยินยอมของ operators รายใหญ่ในการแบ่งข้อมูลและรายได้ บทเรียนสำคัญคือ MaaS ควรเป็นโครงการ "Public-led" ที่หน่วยงานรัฐคุมโครงสร้าง โดยให้เอกชนเข้ามาเสริม</w:t>
      </w:r>
    </w:p>
    <w:p>
      <w:pPr>
        <w:spacing w:before="240" w:after="120" w:line="240" w:lineRule="auto"/>
        <w:ind w:left="0"/>
        <w:jc w:val="left"/>
      </w:pPr>
      <w:r>
        <w:rPr>
          <w:rFonts w:ascii="TH Sarabun New" w:hAnsi="TH Sarabun New" w:cs="TH Sarabun New" w:eastAsia="TH Sarabun New"/>
          <w:b/>
          <w:i w:val="0"/>
          <w:sz w:val="36"/>
          <w:szCs w:val="36"/>
        </w:rPr>
        <w:t>๒.๒ กรณีศึกษาในต่างประเทศ</w:t>
      </w:r>
    </w:p>
    <w:p>
      <w:pPr>
        <w:spacing w:before="160" w:after="80" w:line="240" w:lineRule="auto"/>
        <w:ind w:left="720"/>
        <w:jc w:val="left"/>
      </w:pPr>
      <w:r>
        <w:rPr>
          <w:rFonts w:ascii="TH Sarabun New" w:hAnsi="TH Sarabun New" w:cs="TH Sarabun New" w:eastAsia="TH Sarabun New"/>
          <w:b/>
          <w:i w:val="0"/>
          <w:sz w:val="32"/>
          <w:szCs w:val="32"/>
        </w:rPr>
        <w:t>๒.๒.๑ Berlin Jelbi (สหพันธ์สาธารณรัฐเยอรมนี)</w:t>
      </w:r>
    </w:p>
    <w:p>
      <w:pPr>
        <w:spacing w:line="240" w:lineRule="auto" w:after="0"/>
        <w:ind w:firstLine="720"/>
        <w:jc w:val="both"/>
      </w:pPr>
      <w:r>
        <w:rPr>
          <w:rFonts w:ascii="TH Sarabun New" w:hAnsi="TH Sarabun New" w:cs="TH Sarabun New" w:eastAsia="TH Sarabun New"/>
          <w:b w:val="0"/>
          <w:i w:val="0"/>
          <w:sz w:val="32"/>
          <w:szCs w:val="32"/>
        </w:rPr>
        <w:t>Jelbi เป็นแอปพลิเคชัน MaaS ที่พัฒนาโดย Berliner Verkehrsbetriebe (BVG) ซึ่งเป็นบริษัทขนส่งสาธารณะของเมือง Berlin เปิดให้บริการเมื่อปี ค.ศ. 2019 ปัจจุบันรวมระบบรถไฟฟ้าใต้ดิน รถเมล์ รถไฟ จักรยานเช่า e-scooter รถแท็กซี่ และ carsharing ไว้ในแอปเดียว จุดเด่นของ Jelbi คือเป็นโครงการ "Public-led" ที่ BVG เป็นเจ้าของระบบ ทำให้สามารถต่อรองกับเอกชนได้ง่ายและไม่มีปัญหาเรื่องผลประโยชน์ทับซ้อน</w:t>
      </w:r>
    </w:p>
    <w:p>
      <w:pPr>
        <w:spacing w:before="160" w:after="80" w:line="240" w:lineRule="auto"/>
        <w:ind w:left="720"/>
        <w:jc w:val="left"/>
      </w:pPr>
      <w:r>
        <w:rPr>
          <w:rFonts w:ascii="TH Sarabun New" w:hAnsi="TH Sarabun New" w:cs="TH Sarabun New" w:eastAsia="TH Sarabun New"/>
          <w:b/>
          <w:i w:val="0"/>
          <w:sz w:val="32"/>
          <w:szCs w:val="32"/>
        </w:rPr>
        <w:t>๒.๒.๒ Vienna WienMobil (สาธารณรัฐออสเตรีย)</w:t>
      </w:r>
    </w:p>
    <w:p>
      <w:pPr>
        <w:spacing w:line="240" w:lineRule="auto" w:after="0"/>
        <w:ind w:firstLine="720"/>
        <w:jc w:val="both"/>
      </w:pPr>
      <w:r>
        <w:rPr>
          <w:rFonts w:ascii="TH Sarabun New" w:hAnsi="TH Sarabun New" w:cs="TH Sarabun New" w:eastAsia="TH Sarabun New"/>
          <w:b w:val="0"/>
          <w:i w:val="0"/>
          <w:sz w:val="32"/>
          <w:szCs w:val="32"/>
        </w:rPr>
        <w:t>WienMobil เป็นแอปพลิเคชันที่พัฒนาโดย Wiener Linien ของเมือง Vienna มีโมเดลคล้ายกับ Jelbi คือ Public-led และเปิดให้เอกชนเข้ามาเสริม งบประมาณการดำเนินงานประมาณปีละ ๓ ล้านยูโร (ราว ๑๒๐ ล้านบาท) WienMobil ประสบความสำเร็จในการเพิ่มสัดส่วนการใช้ระบบขนส่งสาธารณะของเมือง Vienna ให้สูงถึงร้อยละ ๗๘ ของการเดินทางทั้งหมด</w:t>
      </w:r>
    </w:p>
    <w:p>
      <w:pPr>
        <w:spacing w:before="160" w:after="80" w:line="240" w:lineRule="auto"/>
        <w:ind w:left="720"/>
        <w:jc w:val="left"/>
      </w:pPr>
      <w:r>
        <w:rPr>
          <w:rFonts w:ascii="TH Sarabun New" w:hAnsi="TH Sarabun New" w:cs="TH Sarabun New" w:eastAsia="TH Sarabun New"/>
          <w:b/>
          <w:i w:val="0"/>
          <w:sz w:val="32"/>
          <w:szCs w:val="32"/>
        </w:rPr>
        <w:t>๒.๒.๓ London Transport for London (TfL)</w:t>
      </w:r>
    </w:p>
    <w:p>
      <w:pPr>
        <w:spacing w:line="240" w:lineRule="auto" w:after="0"/>
        <w:ind w:firstLine="720"/>
        <w:jc w:val="both"/>
      </w:pPr>
      <w:r>
        <w:rPr>
          <w:rFonts w:ascii="TH Sarabun New" w:hAnsi="TH Sarabun New" w:cs="TH Sarabun New" w:eastAsia="TH Sarabun New"/>
          <w:b w:val="0"/>
          <w:i w:val="0"/>
          <w:sz w:val="32"/>
          <w:szCs w:val="32"/>
        </w:rPr>
        <w:t>TfL เป็นหน่วยงานที่บริหารระบบขนส่งสาธารณะของกรุงลอนดอน ตั้งแต่ปี ค.ศ. 2014 TfL ได้เปิดรับการชำระค่าโดยสารแบบ EMV Contactless (แตะบัตรเครดิตได้โดยตรง) โดยปัจจุบันธุรกรรมการชำระเงินผ่าน contactless มีสัดส่วนประมาณร้อยละ ๗๐-๘๐ ของยอดธุรกรรมทั้งหมด นอกจากนี้ TfL ยังใช้ระบบ "Fare Capping" ที่จำกัดค่าใช้จ่ายสูงสุดต่อวัน/สัปดาห์ ทำให้ผู้ใช้ไม่ต้องเสียค่าโดยสารเกินจำนวนที่กำหนด</w:t>
      </w:r>
    </w:p>
    <w:p>
      <w:pPr>
        <w:spacing w:before="160" w:after="80" w:line="240" w:lineRule="auto"/>
        <w:ind w:left="720"/>
        <w:jc w:val="left"/>
      </w:pPr>
      <w:r>
        <w:rPr>
          <w:rFonts w:ascii="TH Sarabun New" w:hAnsi="TH Sarabun New" w:cs="TH Sarabun New" w:eastAsia="TH Sarabun New"/>
          <w:b/>
          <w:i w:val="0"/>
          <w:sz w:val="32"/>
          <w:szCs w:val="32"/>
        </w:rPr>
        <w:t>๒.๒.๔ Singapore SimplyGo</w:t>
      </w:r>
    </w:p>
    <w:p>
      <w:pPr>
        <w:spacing w:line="240" w:lineRule="auto" w:after="0"/>
        <w:ind w:firstLine="720"/>
        <w:jc w:val="both"/>
      </w:pPr>
      <w:r>
        <w:rPr>
          <w:rFonts w:ascii="TH Sarabun New" w:hAnsi="TH Sarabun New" w:cs="TH Sarabun New" w:eastAsia="TH Sarabun New"/>
          <w:b w:val="0"/>
          <w:i w:val="0"/>
          <w:sz w:val="32"/>
          <w:szCs w:val="32"/>
        </w:rPr>
        <w:t>SimplyGo เป็นระบบตั๋วร่วมแบบ Account-Based Ticketing (ABT) ที่ Land Transport Authority (LTA) ของประเทศสิงคโปร์เปิดตัวในปี ค.ศ. 2019 รองรับการชำระเงินผ่าน EMV, NFC, และบัตรเฉพาะ ตัวอย่างที่น่าศึกษาคือ "SimplyGo Backlash" ในเดือนมกราคม ค.ศ. 2024 ที่ LTA พยายามบังคับให้ผู้ใช้ทุกคนเปลี่ยนไปใช้ SimplyGo เท่านั้น ทำให้เกิดเสียงคัดค้านอย่างหนัก และต้องยอมให้ "Coexist" บัตรแบบเก่าและใหม่ไว้ด้วยกัน บทเรียนนี้สำคัญสำหรับประเทศไทยที่ควรให้ Rabbit, MRT Plus, EMV และ QR coexist กันอย่างน้อย ๕ ปี</w:t>
      </w:r>
    </w:p>
    <w:p>
      <w:pPr>
        <w:spacing w:before="160" w:after="80" w:line="240" w:lineRule="auto"/>
        <w:ind w:left="720"/>
        <w:jc w:val="left"/>
      </w:pPr>
      <w:r>
        <w:rPr>
          <w:rFonts w:ascii="TH Sarabun New" w:hAnsi="TH Sarabun New" w:cs="TH Sarabun New" w:eastAsia="TH Sarabun New"/>
          <w:b/>
          <w:i w:val="0"/>
          <w:sz w:val="32"/>
          <w:szCs w:val="32"/>
        </w:rPr>
        <w:t>๒.๒.๕ NYC Times Square Pedestrianization</w:t>
      </w:r>
    </w:p>
    <w:p>
      <w:pPr>
        <w:spacing w:line="240" w:lineRule="auto" w:after="0"/>
        <w:ind w:firstLine="720"/>
        <w:jc w:val="both"/>
      </w:pPr>
      <w:r>
        <w:rPr>
          <w:rFonts w:ascii="TH Sarabun New" w:hAnsi="TH Sarabun New" w:cs="TH Sarabun New" w:eastAsia="TH Sarabun New"/>
          <w:b w:val="0"/>
          <w:i w:val="0"/>
          <w:sz w:val="32"/>
          <w:szCs w:val="32"/>
        </w:rPr>
        <w:t>ในปี ค.ศ. 2009 เมืองนิวยอร์กได้ปิดถนน Broadway ในเขต Times Square สำหรับรถยนต์ และเปลี่ยนเป็นพื้นที่คนเดิน ผลการศึกษาภายหลังพบว่าอุบัติเหตุการจราจรลดลงร้อยละ ๔๐ การเดินเท้าเพิ่มขึ้นร้อยละ ๑๑ และรายได้จากร้านค้าเพิ่มขึ้นร้อยละ ๗๑ (NYC DOT, ๒๐๑๓) การเปลี่ยนแปลงนี้กลายเป็นต้นแบบของแนวคิด "Complete Streets" ในเมืองใหญ่ทั่วโลก</w:t>
      </w:r>
    </w:p>
    <w:p>
      <w:pPr>
        <w:spacing w:before="160" w:after="80" w:line="240" w:lineRule="auto"/>
        <w:ind w:left="720"/>
        <w:jc w:val="left"/>
      </w:pPr>
      <w:r>
        <w:rPr>
          <w:rFonts w:ascii="TH Sarabun New" w:hAnsi="TH Sarabun New" w:cs="TH Sarabun New" w:eastAsia="TH Sarabun New"/>
          <w:b/>
          <w:i w:val="0"/>
          <w:sz w:val="32"/>
          <w:szCs w:val="32"/>
        </w:rPr>
        <w:t>๒.๒.๖ Paris Rivoli Redesign</w:t>
      </w:r>
    </w:p>
    <w:p>
      <w:pPr>
        <w:spacing w:line="240" w:lineRule="auto" w:after="0"/>
        <w:ind w:firstLine="720"/>
        <w:jc w:val="both"/>
      </w:pPr>
      <w:r>
        <w:rPr>
          <w:rFonts w:ascii="TH Sarabun New" w:hAnsi="TH Sarabun New" w:cs="TH Sarabun New" w:eastAsia="TH Sarabun New"/>
          <w:b w:val="0"/>
          <w:i w:val="0"/>
          <w:sz w:val="32"/>
          <w:szCs w:val="32"/>
        </w:rPr>
        <w:t>ในช่วงปี ค.ศ. 2020-2022 กรุงปารีสได้ปรับปรุงถนน Rue de Rivoli ซึ่งเป็นถนนเส้นหลักในเขตศูนย์กลางเมือง โดยลดเลนรถยนต์จาก ๔ เลน เหลือ ๑ เลน (สำหรับรถฉุกเฉินและรถสาธารณะ) และเพิ่มเลนจักรยานและทางเดินกว้างขึ้น ใช้งบประมาณ ๓๐ ล้านยูโร (ประมาณ ๑,๑๐๐ ล้านบาท) ผลลัพธ์คือการใช้จักรยานเพิ่มขึ้นกว่าร้อยละ ๒๐๐ และมลพิษทางอากาศลดลงร้อยละ ๒๕</w:t>
      </w:r>
    </w:p>
    <w:p>
      <w:pPr>
        <w:spacing w:before="240" w:after="80" w:line="240" w:lineRule="auto"/>
        <w:jc w:val="center"/>
      </w:pPr>
      <w:r>
        <w:drawing>
          <wp:inline xmlns:a="http://schemas.openxmlformats.org/drawingml/2006/main" xmlns:pic="http://schemas.openxmlformats.org/drawingml/2006/picture">
            <wp:extent cx="5040000" cy="2835000"/>
            <wp:docPr id="3" name="Picture 3"/>
            <wp:cNvGraphicFramePr>
              <a:graphicFrameLocks noChangeAspect="1"/>
            </wp:cNvGraphicFramePr>
            <a:graphic>
              <a:graphicData uri="http://schemas.openxmlformats.org/drawingml/2006/picture">
                <pic:pic>
                  <pic:nvPicPr>
                    <pic:cNvPr id="0" name="slide-04.png"/>
                    <pic:cNvPicPr/>
                  </pic:nvPicPr>
                  <pic:blipFill>
                    <a:blip r:embed="rId14"/>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๒.๑ เหตุการณ์เปลี่ยนเกมและตัวอย่างต่างประเทศ</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ประมวลผลจาก Transport for London (2024), BVG Berlin (2023), LTA Singapore (2024), MaaS Global (2024)</w:t>
      </w:r>
    </w:p>
    <w:p>
      <w:pPr>
        <w:spacing w:before="240" w:after="120" w:line="240" w:lineRule="auto"/>
        <w:ind w:left="0"/>
        <w:jc w:val="left"/>
      </w:pPr>
      <w:r>
        <w:rPr>
          <w:rFonts w:ascii="TH Sarabun New" w:hAnsi="TH Sarabun New" w:cs="TH Sarabun New" w:eastAsia="TH Sarabun New"/>
          <w:b/>
          <w:i w:val="0"/>
          <w:sz w:val="36"/>
          <w:szCs w:val="36"/>
        </w:rPr>
        <w:t>๒.๓ บริบทประเทศไทย</w:t>
      </w:r>
    </w:p>
    <w:p>
      <w:pPr>
        <w:spacing w:before="160" w:after="80" w:line="240" w:lineRule="auto"/>
        <w:ind w:left="720"/>
        <w:jc w:val="left"/>
      </w:pPr>
      <w:r>
        <w:rPr>
          <w:rFonts w:ascii="TH Sarabun New" w:hAnsi="TH Sarabun New" w:cs="TH Sarabun New" w:eastAsia="TH Sarabun New"/>
          <w:b/>
          <w:i w:val="0"/>
          <w:sz w:val="32"/>
          <w:szCs w:val="32"/>
        </w:rPr>
        <w:t>๒.๓.๑ สถานการณ์ระบบขนส่งสาธารณะ</w:t>
      </w:r>
    </w:p>
    <w:p>
      <w:pPr>
        <w:spacing w:line="240" w:lineRule="auto" w:after="0"/>
        <w:ind w:firstLine="720"/>
        <w:jc w:val="both"/>
      </w:pPr>
      <w:r>
        <w:rPr>
          <w:rFonts w:ascii="TH Sarabun New" w:hAnsi="TH Sarabun New" w:cs="TH Sarabun New" w:eastAsia="TH Sarabun New"/>
          <w:b w:val="0"/>
          <w:i w:val="0"/>
          <w:sz w:val="32"/>
          <w:szCs w:val="32"/>
        </w:rPr>
        <w:t>ประเทศไทยมีโครงข่ายระบบรถไฟฟ้าที่ขยายตัวอย่างรวดเร็วในช่วงปี พ.ศ. ๒๕๖๐-๒๕๖๘ ปัจจุบันมีเส้นทาง ๑๒+ สายในเขตกรุงเทพมหานครและปริมณฑล ครอบคลุมระยะทางกว่า ๒๕๐ กิโลเมตร รวมถึงระบบ Airport Rail Link (ARL) ที่เชื่อมต่อสนามบินสุวรรณภูมิ (ตั้งอยู่ในอำเภอบางพลี จังหวัดสมุทรปราการ) อย่างไรก็ตาม ระบบยังขาดการบูรณาการในด้าน "ตั๋วร่วม" ที่แท้จริง โดยปัจจุบันมีระบบบัตรหลายระบบ ได้แก่ Rabbit (BTS), MRT Plus (รฟม.), และระบบ EMV Contactless ที่ทยอยเปิดใช้</w:t>
      </w:r>
    </w:p>
    <w:p>
      <w:pPr>
        <w:spacing w:before="160" w:after="80" w:line="240" w:lineRule="auto"/>
        <w:ind w:left="720"/>
        <w:jc w:val="left"/>
      </w:pPr>
      <w:r>
        <w:rPr>
          <w:rFonts w:ascii="TH Sarabun New" w:hAnsi="TH Sarabun New" w:cs="TH Sarabun New" w:eastAsia="TH Sarabun New"/>
          <w:b/>
          <w:i w:val="0"/>
          <w:sz w:val="32"/>
          <w:szCs w:val="32"/>
        </w:rPr>
        <w:t>๒.๓.๒ พระราชบัญญัติระบบตั๋วร่วม พ.ศ. ๒๕๖๘</w:t>
      </w:r>
    </w:p>
    <w:p>
      <w:pPr>
        <w:spacing w:line="240" w:lineRule="auto" w:after="0"/>
        <w:ind w:firstLine="720"/>
        <w:jc w:val="both"/>
      </w:pPr>
      <w:r>
        <w:rPr>
          <w:rFonts w:ascii="TH Sarabun New" w:hAnsi="TH Sarabun New" w:cs="TH Sarabun New" w:eastAsia="TH Sarabun New"/>
          <w:b w:val="0"/>
          <w:i w:val="0"/>
          <w:sz w:val="32"/>
          <w:szCs w:val="32"/>
        </w:rPr>
        <w:t>พระราชบัญญัติระบบตั๋วร่วม พ.ศ. ๒๕๖๘ ได้รับการประกาศใช้ในราชกิจจานุเบกษาเมื่อวันที่ ๒๗ ธันวาคม พ.ศ. ๒๕๖๘ เป็นกรอบกฎหมายที่กำหนดให้มีการจัดตั้ง "National Transit Clearing House" (NTCH) เพื่อทำหน้าที่เป็นหน่วยกลางในการจัดสรรค่าโดยสารระหว่าง operators ต่างๆ และมีอำนาจในการกำหนดมาตรฐานเทคนิคที่เกี่ยวข้อง รวมถึงอำนาจในการเก็บข้อมูลการเดินทางเพื่อใช้ในการวางแผนนโยบาย</w:t>
      </w:r>
    </w:p>
    <w:p>
      <w:pPr>
        <w:spacing w:before="160" w:after="80" w:line="240" w:lineRule="auto"/>
        <w:ind w:left="720"/>
        <w:jc w:val="left"/>
      </w:pPr>
      <w:r>
        <w:rPr>
          <w:rFonts w:ascii="TH Sarabun New" w:hAnsi="TH Sarabun New" w:cs="TH Sarabun New" w:eastAsia="TH Sarabun New"/>
          <w:b/>
          <w:i w:val="0"/>
          <w:sz w:val="32"/>
          <w:szCs w:val="32"/>
        </w:rPr>
        <w:t>๒.๓.๓ นโยบายและยุทธศาสตร์ที่เกี่ยวข้อง</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ยุทธศาสตร์ชาติ ๒๐ ปี (พ.ศ. ๒๕๖๑-๒๕๘๐): กำหนดเป้าหมายให้สัดส่วนการใช้ระบบขนส่งสาธารณะในเขตเมืองเพิ่มขึ้นเป็นร้อยละ ๑๐ ในปี พ.ศ. ๒๕๘๐</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Net-Zero ๒๐๖๕: ประเทศไทยประกาศเป้าหมายลดการปล่อยก๊าซเรือนกระจกเป็นศูนย์ภายในปี พ.ศ. ๒๖๐๘ ภายใต้กรอบ COP26</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นโยบาย 30@30: เป้าหมายให้ยานยนต์ไฟฟ้า (EV) มีสัดส่วนร้อยละ ๓๐ ของยอดผลิตรถยนต์ในประเทศภายในปี ค.ศ. 2030</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EV3.5 Scheme: มาตรการสนับสนุนการซื้อ EV ของรัฐบาล รวมถึง subsidy มอเตอร์ไซค์ไฟฟ้า ๑๘,๐๐๐ บาทต่อคัน</w:t>
      </w:r>
    </w:p>
    <w:p>
      <w:r>
        <w:br w:type="page"/>
      </w:r>
    </w:p>
    <w:p>
      <w:pPr>
        <w:spacing w:before="0" w:after="0" w:line="240" w:lineRule="auto"/>
        <w:jc w:val="center"/>
      </w:pPr>
      <w:r>
        <w:rPr>
          <w:rFonts w:ascii="TH Sarabun New" w:hAnsi="TH Sarabun New" w:cs="TH Sarabun New" w:eastAsia="TH Sarabun New"/>
          <w:b/>
          <w:i w:val="0"/>
          <w:sz w:val="40"/>
          <w:szCs w:val="40"/>
        </w:rPr>
        <w:t>บทที่ ๓</w:t>
      </w:r>
    </w:p>
    <w:p>
      <w:pPr>
        <w:spacing w:before="0" w:after="360" w:line="240" w:lineRule="auto"/>
        <w:jc w:val="center"/>
      </w:pPr>
      <w:r>
        <w:rPr>
          <w:rFonts w:ascii="TH Sarabun New" w:hAnsi="TH Sarabun New" w:cs="TH Sarabun New" w:eastAsia="TH Sarabun New"/>
          <w:b/>
          <w:i w:val="0"/>
          <w:sz w:val="40"/>
          <w:szCs w:val="40"/>
        </w:rPr>
        <w:t>การวิเคราะห์สถานการณ์</w:t>
      </w:r>
    </w:p>
    <w:p>
      <w:pPr>
        <w:spacing w:before="240" w:after="120" w:line="240" w:lineRule="auto"/>
        <w:ind w:left="0"/>
        <w:jc w:val="left"/>
      </w:pPr>
      <w:r>
        <w:rPr>
          <w:rFonts w:ascii="TH Sarabun New" w:hAnsi="TH Sarabun New" w:cs="TH Sarabun New" w:eastAsia="TH Sarabun New"/>
          <w:b/>
          <w:i w:val="0"/>
          <w:sz w:val="36"/>
          <w:szCs w:val="36"/>
        </w:rPr>
        <w:t>๓.๑ การวิเคราะห์ SWOT</w:t>
      </w:r>
    </w:p>
    <w:p>
      <w:pPr>
        <w:spacing w:line="240" w:lineRule="auto" w:after="0"/>
        <w:ind w:firstLine="720"/>
        <w:jc w:val="both"/>
      </w:pPr>
      <w:r>
        <w:rPr>
          <w:rFonts w:ascii="TH Sarabun New" w:hAnsi="TH Sarabun New" w:cs="TH Sarabun New" w:eastAsia="TH Sarabun New"/>
          <w:b w:val="0"/>
          <w:i w:val="0"/>
          <w:sz w:val="32"/>
          <w:szCs w:val="32"/>
        </w:rPr>
        <w:t>การวิเคราะห์ SWOT (Strengths, Weaknesses, Opportunities, Threats) ของระบบขนส่งสาธารณะในประเทศไทย โดยเฉพาะในบริบทของการบูรณาการ MaaS สรุปได้ดังตารางที่ ๓.๑</w:t>
      </w:r>
    </w:p>
    <w:p>
      <w:pPr>
        <w:spacing w:before="240" w:after="80"/>
        <w:jc w:val="center"/>
      </w:pPr>
      <w:r>
        <w:rPr>
          <w:rFonts w:ascii="TH Sarabun New" w:hAnsi="TH Sarabun New" w:cs="TH Sarabun New" w:eastAsia="TH Sarabun New"/>
          <w:b/>
          <w:i w:val="0"/>
          <w:sz w:val="32"/>
          <w:szCs w:val="32"/>
        </w:rPr>
        <w:t>ตารางที่ ๓.๑ การวิเคราะห์ SWOT</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4153"/>
        <w:gridCol w:w="4153"/>
      </w:tblGrid>
      <w:tr>
        <w:tc>
          <w:tcPr>
            <w:tcW w:type="dxa" w:w="1984"/>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มิติ</w:t>
            </w:r>
          </w:p>
        </w:tc>
        <w:tc>
          <w:tcPr>
            <w:tcW w:type="dxa" w:w="6520"/>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รายละเอียด</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Strengths</w:t>
              <w:br/>
              <w:t>(จุดแข็ง)</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๑. โครงข่ายรถไฟฟ้าในกรุงเทพฯ ขยายตัวเร็วที่สุดในอาเซียน (๑๒+ สาย)</w:t>
              <w:br/>
              <w:t>๒. กระทรวงคมนาคมมีหน่วยงานครอบคลุมทุกโหมดการเดินทาง</w:t>
              <w:br/>
              <w:t>๓. ผู้ใช้สมาร์ทโฟนสูงกว่าร้อยละ ๙๐ พร้อมสำหรับการใช้แอป</w:t>
              <w:br/>
              <w:t>๔. ภาคเอกชน (Grab, LINE MAN, TrueMoney) มีศักยภาพสูงในการเป็นพันธมิตร</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Weaknesses</w:t>
              <w:br/>
              <w:t>(จุดอ่อน)</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๑. ระบบบัตรแยกกัน: Rabbit, MRT Plus, EMV, QR ยังไม่มี true ABT cross-operator</w:t>
              <w:br/>
              <w:t>๒. API ของ operators ส่วนใหญ่ไม่เป็น Open API</w:t>
              <w:br/>
              <w:t>3. โครงสร้างพื้นฐานคนเดิน/จักรยานยังขาดแคลน</w:t>
              <w:br/>
              <w:t>๔. การประสานงานข้ามกระทรวงและหน่วยงานยังเป็นอุปสรรคใหญ่</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Opportunities</w:t>
              <w:br/>
              <w:t>(โอกาส)</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๑. EMV Contactless ขยายตัวเร็ว BTS/MRT/ARL ทยอยรับ Visa/Mastercard</w:t>
              <w:br/>
              <w:t>๒. ตัวอย่างต่างประเทศพิสูจน์โมเดล (Helsinki, Singapore, Vienna)</w:t>
              <w:br/>
              <w:t>๓. นโยบาย Net-Zero ๒๐๖๕ สร้างแรงผลักดันให้เปลี่ยนสู่ระบบขนส่งสาธารณะ</w:t>
              <w:br/>
              <w:t>๔. คนรุ่นใหม่ยอมรับ Shared Mobility มากขึ้น</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Threats</w:t>
              <w:br/>
              <w:t>(ภัยคุกคาม)</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๑. Operators ส่วนใหญ่ไม่ต้องการเปิดข้อมูล (data silos)</w:t>
              <w:br/>
              <w:t>๒. การเปลี่ยนแปลงรัฐบาล/รัฐมนตรี อาจส่งผลต่อความต่อเนื่องของนโยบาย</w:t>
              <w:br/>
              <w:t>๓. ความเสี่ยงด้าน PDPA (Personal Data Protection Act)</w:t>
              <w:br/>
              <w:t>๔. กลุ่มผลิต/นำเข้ารถยนต์อาจคัดค้านมาตรการภาษี</w:t>
              <w:br/>
              <w:t>๕. ความเคยชินของประชาชนในการขับรถยนต์ส่วนตัว</w:t>
            </w:r>
          </w:p>
        </w:tc>
      </w:tr>
    </w:tbl>
    <w:p>
      <w:pPr>
        <w:spacing w:after="160"/>
      </w:pPr>
    </w:p>
    <w:p>
      <w:pPr>
        <w:spacing w:before="240" w:after="120" w:line="240" w:lineRule="auto"/>
        <w:ind w:left="0"/>
        <w:jc w:val="left"/>
      </w:pPr>
      <w:r>
        <w:rPr>
          <w:rFonts w:ascii="TH Sarabun New" w:hAnsi="TH Sarabun New" w:cs="TH Sarabun New" w:eastAsia="TH Sarabun New"/>
          <w:b/>
          <w:i w:val="0"/>
          <w:sz w:val="36"/>
          <w:szCs w:val="36"/>
        </w:rPr>
        <w:t>๓.๒ การวิเคราะห์ PESTEL</w:t>
      </w:r>
    </w:p>
    <w:p>
      <w:pPr>
        <w:spacing w:line="240" w:lineRule="auto" w:after="0"/>
        <w:ind w:firstLine="720"/>
        <w:jc w:val="both"/>
      </w:pPr>
      <w:r>
        <w:rPr>
          <w:rFonts w:ascii="TH Sarabun New" w:hAnsi="TH Sarabun New" w:cs="TH Sarabun New" w:eastAsia="TH Sarabun New"/>
          <w:b w:val="0"/>
          <w:i w:val="0"/>
          <w:sz w:val="32"/>
          <w:szCs w:val="32"/>
        </w:rPr>
        <w:t>การวิเคราะห์ PESTEL (Political, Economic, Social, Technological, Environmental, Legal) ครอบคลุมปัจจัยภายนอกที่มีผลต่อระบบขนส่งสาธารณะของประเทศไทย สรุปได้ดังตารางที่ ๓.๒</w:t>
      </w:r>
    </w:p>
    <w:p>
      <w:pPr>
        <w:spacing w:before="240" w:after="80"/>
        <w:jc w:val="center"/>
      </w:pPr>
      <w:r>
        <w:rPr>
          <w:rFonts w:ascii="TH Sarabun New" w:hAnsi="TH Sarabun New" w:cs="TH Sarabun New" w:eastAsia="TH Sarabun New"/>
          <w:b/>
          <w:i w:val="0"/>
          <w:sz w:val="32"/>
          <w:szCs w:val="32"/>
        </w:rPr>
        <w:t>ตารางที่ ๓.๒ การวิเคราะห์ PESTEL</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4153"/>
        <w:gridCol w:w="4153"/>
      </w:tblGrid>
      <w:tr>
        <w:tc>
          <w:tcPr>
            <w:tcW w:type="dxa" w:w="1984"/>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มิติ</w:t>
            </w:r>
          </w:p>
        </w:tc>
        <w:tc>
          <w:tcPr>
            <w:tcW w:type="dxa" w:w="6520"/>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ปัจจัย</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Political</w:t>
              <w:br/>
              <w:t>(การเมือง)</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นโยบายของรัฐมนตรีว่าการกระทรวงคมนาคม · พ.ร.บ. ระบบตั๋วร่วม ๒๕๖๘ · ความเสถียรของรัฐบาล · Quick Win ๗๒ โครงการของกระทรวง</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Economic</w:t>
              <w:br/>
              <w:t>(เศรษฐกิจ)</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อัตราเงินเฟ้อ · ราคาน้ำมัน · การฟื้นตัวของเศรษฐกิจหลัง COVID-๑๙ · รายได้เฉลี่ยของครัวเรือนในเขตเมือง</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Social</w:t>
              <w:br/>
              <w:t>(สังคม)</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วิถีชีวิตคนเมือง · ครอบครัวขนาดเล็ก · Work From Home · ผู้สูงอายุ · ทัศนคติของประชาชนต่อระบบขนส่งสาธารณะ</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Technological</w:t>
              <w:br/>
              <w:t>(เทคโนโลยี)</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EMV Contactless · 5G/6G · Open API · AI/ML · ThaID · GTFS-RT · IoT Smart Pole · Battery Swapping Technology</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Environmental</w:t>
              <w:br/>
              <w:t>(สิ่งแวดล้อม)</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PM2.5 ในเขตเมืองและพื้นที่อุตสาหกรรม · เป้าหมาย Net-Zero ๒๐๖๕ · COP26 commitments · การเปลี่ยนแปลงสภาพภูมิอากาศ</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Legal</w:t>
              <w:br/>
              <w:t>(กฎหมาย)</w:t>
            </w:r>
          </w:p>
        </w:tc>
        <w:tc>
          <w:tcPr>
            <w:tcW w:type="dxa" w:w="6520"/>
            <w:vAlign w:val="top"/>
          </w:tcPr>
          <w:p>
            <w:pPr>
              <w:spacing w:after="0" w:line="240" w:lineRule="auto"/>
              <w:jc w:val="left"/>
            </w:pPr>
            <w:r/>
            <w:r>
              <w:rPr>
                <w:rFonts w:ascii="TH Sarabun New" w:hAnsi="TH Sarabun New" w:cs="TH Sarabun New" w:eastAsia="TH Sarabun New"/>
                <w:b w:val="0"/>
                <w:i w:val="0"/>
                <w:sz w:val="30"/>
                <w:szCs w:val="30"/>
              </w:rPr>
              <w:t>พ.ร.บ. คุ้มครองข้อมูลส่วนบุคคล (PDPA) · พ.ร.บ. ระบบตั๋วร่วม ๒๕๖๘ · พ.ร.บ. การขนส่งทางราง · กฎหมายลำดับรองที่ต้องออกใหม่</w:t>
            </w:r>
          </w:p>
        </w:tc>
      </w:tr>
    </w:tbl>
    <w:p>
      <w:pPr>
        <w:spacing w:after="160"/>
      </w:pPr>
    </w:p>
    <w:p>
      <w:pPr>
        <w:spacing w:line="240" w:lineRule="auto" w:after="0"/>
        <w:ind w:firstLine="720"/>
        <w:jc w:val="both"/>
      </w:pPr>
      <w:r>
        <w:rPr>
          <w:rFonts w:ascii="TH Sarabun New" w:hAnsi="TH Sarabun New" w:cs="TH Sarabun New" w:eastAsia="TH Sarabun New"/>
          <w:b w:val="0"/>
          <w:i w:val="0"/>
          <w:sz w:val="32"/>
          <w:szCs w:val="32"/>
        </w:rPr>
        <w:t>จากการวิเคราะห์ SWOT และ PESTEL ข้างต้น สรุปได้ว่าประเทศไทยอยู่ในช่วงเวลาที่เหมาะสมอย่างยิ่งสำหรับการดำเนินงานบูรณาการระบบขนส่งสาธารณะแบบ MaaS เนื่องจาก (๑) มีกรอบกฎหมายพร้อม (พ.ร.บ. ตั๋วร่วม ๒๕๖๘) (๒) มีตัวอย่างความสำเร็จและความล้มเหลวจากต่างประเทศที่สามารถเรียนรู้ได้ (๓) เทคโนโลยีพร้อม (EMV, สมาร์ทโฟน, 5G) และ (๔) มีแรงผลักดันด้านสิ่งแวดล้อม (Net-Zero) อย่างไรก็ตาม ปัจจัยความสำเร็จที่สำคัญที่สุดคือ "เจตจำนงทางการเมือง" และ "การประสานงานข้ามกระทรวง" ที่ต้องเข้มแข็งและต่อเนื่อง</w:t>
      </w:r>
    </w:p>
    <w:p>
      <w:r>
        <w:br w:type="page"/>
      </w:r>
    </w:p>
    <w:p>
      <w:pPr>
        <w:spacing w:before="0" w:after="0" w:line="240" w:lineRule="auto"/>
        <w:jc w:val="center"/>
      </w:pPr>
      <w:r>
        <w:rPr>
          <w:rFonts w:ascii="TH Sarabun New" w:hAnsi="TH Sarabun New" w:cs="TH Sarabun New" w:eastAsia="TH Sarabun New"/>
          <w:b/>
          <w:i w:val="0"/>
          <w:sz w:val="40"/>
          <w:szCs w:val="40"/>
        </w:rPr>
        <w:t>บทที่ ๔</w:t>
      </w:r>
    </w:p>
    <w:p>
      <w:pPr>
        <w:spacing w:before="0" w:after="360" w:line="240" w:lineRule="auto"/>
        <w:jc w:val="center"/>
      </w:pPr>
      <w:r>
        <w:rPr>
          <w:rFonts w:ascii="TH Sarabun New" w:hAnsi="TH Sarabun New" w:cs="TH Sarabun New" w:eastAsia="TH Sarabun New"/>
          <w:b/>
          <w:i w:val="0"/>
          <w:sz w:val="40"/>
          <w:szCs w:val="40"/>
        </w:rPr>
        <w:t>กรอบแนวคิด ๔ เสาหลัก</w:t>
      </w:r>
    </w:p>
    <w:p>
      <w:pPr>
        <w:spacing w:before="240" w:after="80" w:line="240" w:lineRule="auto"/>
        <w:jc w:val="center"/>
      </w:pPr>
      <w:r>
        <w:drawing>
          <wp:inline xmlns:a="http://schemas.openxmlformats.org/drawingml/2006/main" xmlns:pic="http://schemas.openxmlformats.org/drawingml/2006/picture">
            <wp:extent cx="5040000" cy="2835000"/>
            <wp:docPr id="4" name="Picture 4"/>
            <wp:cNvGraphicFramePr>
              <a:graphicFrameLocks noChangeAspect="1"/>
            </wp:cNvGraphicFramePr>
            <a:graphic>
              <a:graphicData uri="http://schemas.openxmlformats.org/drawingml/2006/picture">
                <pic:pic>
                  <pic:nvPicPr>
                    <pic:cNvPr id="0" name="slide-05.png"/>
                    <pic:cNvPicPr/>
                  </pic:nvPicPr>
                  <pic:blipFill>
                    <a:blip r:embed="rId15"/>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๔.๑ กรอบแนวคิด ๔ เสาหลัก · ตั๋วร่วม · MaaS · Complete Streets · ภาษี</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สังเคราะห์จาก Sochor et al. (2018), TfL (2024), NACTO (2013), USA IRC §132(f)</w:t>
      </w:r>
    </w:p>
    <w:p>
      <w:pPr>
        <w:spacing w:line="240" w:lineRule="auto" w:after="0"/>
        <w:ind w:firstLine="720"/>
        <w:jc w:val="both"/>
      </w:pPr>
      <w:r>
        <w:rPr>
          <w:rFonts w:ascii="TH Sarabun New" w:hAnsi="TH Sarabun New" w:cs="TH Sarabun New" w:eastAsia="TH Sarabun New"/>
          <w:b w:val="0"/>
          <w:i w:val="0"/>
          <w:sz w:val="32"/>
          <w:szCs w:val="32"/>
        </w:rPr>
        <w:t>กรอบแนวคิด "๔ เสาหลัก" นี้เสนอให้ดำเนินการพร้อมกันทั้ง ๔ ด้าน เนื่องจากบทเรียนจากต่างประเทศ (โดยเฉพาะกรณี Whim Helsinki ที่ล้ม) แสดงให้เห็นว่าการแก้ปัญหาเฉพาะด้านใดด้านหนึ่งจะไม่สามารถสร้างผลกระทบที่ยั่งยืนได้ โดย London TfL เป็นต้นแบบของความสำเร็จเนื่องจากควบคุมทั้ง ๔ มิตินี้ในหน่วยงานเดียวกัน</w:t>
      </w:r>
    </w:p>
    <w:p>
      <w:pPr>
        <w:spacing w:before="240" w:after="120" w:line="240" w:lineRule="auto"/>
        <w:ind w:left="0"/>
        <w:jc w:val="left"/>
      </w:pPr>
      <w:r>
        <w:rPr>
          <w:rFonts w:ascii="TH Sarabun New" w:hAnsi="TH Sarabun New" w:cs="TH Sarabun New" w:eastAsia="TH Sarabun New"/>
          <w:b/>
          <w:i w:val="0"/>
          <w:sz w:val="36"/>
          <w:szCs w:val="36"/>
        </w:rPr>
        <w:t>๔.๑ เสาที่ ๑: ระบบตั๋วร่วม (Common Ticketing)</w:t>
      </w:r>
    </w:p>
    <w:p>
      <w:pPr>
        <w:spacing w:line="240" w:lineRule="auto" w:after="0"/>
        <w:ind w:firstLine="720"/>
        <w:jc w:val="both"/>
      </w:pPr>
      <w:r>
        <w:rPr>
          <w:rFonts w:ascii="TH Sarabun New" w:hAnsi="TH Sarabun New" w:cs="TH Sarabun New" w:eastAsia="TH Sarabun New"/>
          <w:b w:val="0"/>
          <w:i w:val="0"/>
          <w:sz w:val="32"/>
          <w:szCs w:val="32"/>
        </w:rPr>
        <w:t>เสาหลักแรกเป็น "Foundation" ของระบบทั้งหมด แนวทางที่เสนอคือการใช้ "Account-Based Ticketing (ABT)" ร่วมกับ "EMV Open-loop" ซึ่งหมายถึงผู้โดยสารสามารถใช้บัตรเครดิต/เดบิตของธนาคารใดก็ได้ แตะที่ประตูตรวจตั๋วโดยตรง โดยไม่ต้องซื้อบัตรเฉพาะ ระบบจะคำนวณค่าโดยสารและหักจากบัญชีในภายหลัง</w:t>
      </w:r>
    </w:p>
    <w:p>
      <w:pPr>
        <w:spacing w:before="160" w:after="80" w:line="240" w:lineRule="auto"/>
        <w:ind w:left="720"/>
        <w:jc w:val="left"/>
      </w:pPr>
      <w:r>
        <w:rPr>
          <w:rFonts w:ascii="TH Sarabun New" w:hAnsi="TH Sarabun New" w:cs="TH Sarabun New" w:eastAsia="TH Sarabun New"/>
          <w:b/>
          <w:i w:val="0"/>
          <w:sz w:val="32"/>
          <w:szCs w:val="32"/>
        </w:rPr>
        <w:t>๔.๑.๑ หลักการสำคัญ</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Account-Based Ticketing (ABT): การคำนวณค่าโดยสารแบบ post-paid ในระบบกลาง ไม่ใช่บนบัตร</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EMV Open-loop: รับการชำระเงินผ่านบัตรเครดิต/เดบิตของธนาคาร โดยตรง</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QR PromptPay: เพิ่มทางเลือกสำหรับผู้ใช้ที่ไม่มีบัตรเครดิต</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Fare Capping: จำกัดค่าใช้จ่ายสูงสุดต่อวัน/สัปดาห์</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Coexist Strategy: รักษาบัตรเดิม (Rabbit, MRT Plus) คู่กับระบบใหม่</w:t>
      </w:r>
    </w:p>
    <w:p>
      <w:pPr>
        <w:spacing w:before="160" w:after="80" w:line="240" w:lineRule="auto"/>
        <w:ind w:left="720"/>
        <w:jc w:val="left"/>
      </w:pPr>
      <w:r>
        <w:rPr>
          <w:rFonts w:ascii="TH Sarabun New" w:hAnsi="TH Sarabun New" w:cs="TH Sarabun New" w:eastAsia="TH Sarabun New"/>
          <w:b/>
          <w:i w:val="0"/>
          <w:sz w:val="32"/>
          <w:szCs w:val="32"/>
        </w:rPr>
        <w:t>๔.๑.๒ การนำไปใช้ที่จังหวัดสมุทรปราการ</w:t>
      </w:r>
    </w:p>
    <w:p>
      <w:pPr>
        <w:spacing w:line="240" w:lineRule="auto" w:after="0"/>
        <w:ind w:firstLine="720"/>
        <w:jc w:val="both"/>
      </w:pPr>
      <w:r>
        <w:rPr>
          <w:rFonts w:ascii="TH Sarabun New" w:hAnsi="TH Sarabun New" w:cs="TH Sarabun New" w:eastAsia="TH Sarabun New"/>
          <w:b w:val="0"/>
          <w:i w:val="0"/>
          <w:sz w:val="32"/>
          <w:szCs w:val="32"/>
        </w:rPr>
        <w:t>นำร่องที่จังหวัดสมุทรปราการเป็นพื้นที่แรก โดยเริ่มจาก BTS สีเขียวเข้ม (สำโรง-เคหะฯ ๙ สถานี), ARL (สถานีสุวรรณภูมิ ในอำเภอบางพลี), รถเมล์ ขสมก. และ Feeder EV ของ อบจ. ใช้ระบบ EMV/QR ตั้งแต่ไตรมาสที่ ๒ ปี พ.ศ. ๒๕๗๐ โดยมี NTCH (National Transit Clearing House) ทำหน้าที่ประมวลผลค่าโดยสาร</w:t>
      </w:r>
    </w:p>
    <w:p>
      <w:pPr>
        <w:spacing w:before="240" w:after="120" w:line="240" w:lineRule="auto"/>
        <w:ind w:left="0"/>
        <w:jc w:val="left"/>
      </w:pPr>
      <w:r>
        <w:rPr>
          <w:rFonts w:ascii="TH Sarabun New" w:hAnsi="TH Sarabun New" w:cs="TH Sarabun New" w:eastAsia="TH Sarabun New"/>
          <w:b/>
          <w:i w:val="0"/>
          <w:sz w:val="36"/>
          <w:szCs w:val="36"/>
        </w:rPr>
        <w:t>๔.๒ เสาที่ ๒: แอปพลิเคชัน MaaS</w:t>
      </w:r>
    </w:p>
    <w:p>
      <w:pPr>
        <w:spacing w:before="240" w:after="80" w:line="240" w:lineRule="auto"/>
        <w:jc w:val="center"/>
      </w:pPr>
      <w:r>
        <w:drawing>
          <wp:inline xmlns:a="http://schemas.openxmlformats.org/drawingml/2006/main" xmlns:pic="http://schemas.openxmlformats.org/drawingml/2006/picture">
            <wp:extent cx="5040000" cy="2835000"/>
            <wp:docPr id="5" name="Picture 5"/>
            <wp:cNvGraphicFramePr>
              <a:graphicFrameLocks noChangeAspect="1"/>
            </wp:cNvGraphicFramePr>
            <a:graphic>
              <a:graphicData uri="http://schemas.openxmlformats.org/drawingml/2006/picture">
                <pic:pic>
                  <pic:nvPicPr>
                    <pic:cNvPr id="0" name="slide-07.png"/>
                    <pic:cNvPicPr/>
                  </pic:nvPicPr>
                  <pic:blipFill>
                    <a:blip r:embed="rId16"/>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๔.๒ ภาพจำลองแอปพลิเคชัน MaaS · ๕ ขั้นตอนการเดินทาง</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MaaS App Prototype, mot-mobility.pages.dev/webapp · อ้างอิงรูปแบบจาก Berlin Jelbi (BVG) และ Vienna WienMobil</w:t>
      </w:r>
    </w:p>
    <w:p>
      <w:pPr>
        <w:spacing w:line="240" w:lineRule="auto" w:after="0"/>
        <w:ind w:firstLine="720"/>
        <w:jc w:val="both"/>
      </w:pPr>
      <w:r>
        <w:rPr>
          <w:rFonts w:ascii="TH Sarabun New" w:hAnsi="TH Sarabun New" w:cs="TH Sarabun New" w:eastAsia="TH Sarabun New"/>
          <w:b w:val="0"/>
          <w:i w:val="0"/>
          <w:sz w:val="32"/>
          <w:szCs w:val="32"/>
        </w:rPr>
        <w:t>เสาหลักที่สองคือการพัฒนาแอปพลิเคชัน "One Mobility App" ที่บูรณาการการเดินทางทุกประเภทไว้ในแอปเดียว โดยใช้โมเดล "Public-led" ตามแบบ Berlin Jelbi และ Vienna WienMobil ไม่ใช่โมเดล "Private-led" แบบ Whim ที่ล้มเหลว</w:t>
      </w:r>
    </w:p>
    <w:p>
      <w:pPr>
        <w:spacing w:before="160" w:after="80" w:line="240" w:lineRule="auto"/>
        <w:ind w:left="720"/>
        <w:jc w:val="left"/>
      </w:pPr>
      <w:r>
        <w:rPr>
          <w:rFonts w:ascii="TH Sarabun New" w:hAnsi="TH Sarabun New" w:cs="TH Sarabun New" w:eastAsia="TH Sarabun New"/>
          <w:b/>
          <w:i w:val="0"/>
          <w:sz w:val="32"/>
          <w:szCs w:val="32"/>
        </w:rPr>
        <w:t>๔.๒.๑ หลักการสำคัญ</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Public-led: หน่วยงานรัฐเป็นเจ้าของระบบกลาง เพื่อหลีกเลี่ยงผลประโยชน์ทับซ้อน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Open API: ใช้มาตรฐาน TOMP-API และ GBFS</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Pay-as-you-go: ไม่บังคับ subscription model</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Multi-modal: เชื่อมรถไฟฟ้า · รถเมล์ · เรือ · แท็กซี่ · จักรยานเช่า · มอไซค์รับจ้าง</w:t>
      </w:r>
    </w:p>
    <w:p>
      <w:pPr>
        <w:spacing w:before="240" w:after="120" w:line="240" w:lineRule="auto"/>
        <w:ind w:left="0"/>
        <w:jc w:val="left"/>
      </w:pPr>
      <w:r>
        <w:rPr>
          <w:rFonts w:ascii="TH Sarabun New" w:hAnsi="TH Sarabun New" w:cs="TH Sarabun New" w:eastAsia="TH Sarabun New"/>
          <w:b/>
          <w:i w:val="0"/>
          <w:sz w:val="36"/>
          <w:szCs w:val="36"/>
        </w:rPr>
        <w:t>๔.๓ เสาที่ ๓: โครงสร้างพื้นฐานคนเดิน (Complete Streets)</w:t>
      </w:r>
    </w:p>
    <w:p>
      <w:pPr>
        <w:spacing w:line="240" w:lineRule="auto" w:after="0"/>
        <w:ind w:firstLine="720"/>
        <w:jc w:val="both"/>
      </w:pPr>
      <w:r>
        <w:rPr>
          <w:rFonts w:ascii="TH Sarabun New" w:hAnsi="TH Sarabun New" w:cs="TH Sarabun New" w:eastAsia="TH Sarabun New"/>
          <w:b w:val="0"/>
          <w:i w:val="0"/>
          <w:sz w:val="32"/>
          <w:szCs w:val="32"/>
        </w:rPr>
        <w:t>เสาหลักที่สามคือการปรับปรุงโครงสร้างพื้นฐานทางกายภาพเพื่อรองรับการเปลี่ยนแปลงพฤติกรรมการเดินทาง ตามแนวคิด "Complete Streets" และ "Road Diet" โดยใช้มาตรฐาน NACTO</w:t>
      </w:r>
    </w:p>
    <w:p>
      <w:pPr>
        <w:spacing w:before="160" w:after="80" w:line="240" w:lineRule="auto"/>
        <w:ind w:left="720"/>
        <w:jc w:val="left"/>
      </w:pPr>
      <w:r>
        <w:rPr>
          <w:rFonts w:ascii="TH Sarabun New" w:hAnsi="TH Sarabun New" w:cs="TH Sarabun New" w:eastAsia="TH Sarabun New"/>
          <w:b/>
          <w:i w:val="0"/>
          <w:sz w:val="32"/>
          <w:szCs w:val="32"/>
        </w:rPr>
        <w:t>๔.๓.๑ หลักการสำคัญ</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Road Diet: ลดจำนวนเลนรถยนต์ (เช่น ๔ เลน เหลือ ๓ เลน)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ทางเท้ากว้าง ๓-๔ เมตร: รองรับการเดินเท้าและรถเข็นผู้พิการ</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เลนจักรยานเฉพาะ: แยกจากเลนรถยนต์ด้วยขอบทาง</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Smart Intersection: ระบบสัญญาณไฟอัจฉริยะที่ปรับตามจราจร</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Park &amp; Ride: ลานจอดรถปลายสายเชื่อมกับสถานี</w:t>
      </w:r>
    </w:p>
    <w:p>
      <w:pPr>
        <w:spacing w:before="160" w:after="80" w:line="240" w:lineRule="auto"/>
        <w:ind w:left="720"/>
        <w:jc w:val="left"/>
      </w:pPr>
      <w:r>
        <w:rPr>
          <w:rFonts w:ascii="TH Sarabun New" w:hAnsi="TH Sarabun New" w:cs="TH Sarabun New" w:eastAsia="TH Sarabun New"/>
          <w:b/>
          <w:i w:val="0"/>
          <w:sz w:val="32"/>
          <w:szCs w:val="32"/>
        </w:rPr>
        <w:t>๔.๓.๒ พื้นที่นำร่อง ๓ จุด ในจังหวัดสมุทรปราการ</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ถนนศรีนครินทร์ (ประมาณ ๕ กม.): เชื่อมต่อกับ BTS สีเขียวเข้มและพื้นที่อยู่อาศัย</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ถนนนารายณ์-ปากน้ำ (ประมาณ ๔ กม.): พื้นที่ใจกลางจังหวัดสมุทรปราการ</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ถนนบางนา-ตราด (ประมาณ ๖ กม.): เส้นทางหลักสู่นิคมอุตสาหกรรมบางพลีและสนามบินสุวรรณภูมิ</w:t>
      </w:r>
    </w:p>
    <w:p>
      <w:pPr>
        <w:spacing w:before="240" w:after="120" w:line="240" w:lineRule="auto"/>
        <w:ind w:left="0"/>
        <w:jc w:val="left"/>
      </w:pPr>
      <w:r>
        <w:rPr>
          <w:rFonts w:ascii="TH Sarabun New" w:hAnsi="TH Sarabun New" w:cs="TH Sarabun New" w:eastAsia="TH Sarabun New"/>
          <w:b/>
          <w:i w:val="0"/>
          <w:sz w:val="36"/>
          <w:szCs w:val="36"/>
        </w:rPr>
        <w:t>๔.๔ เสาที่ ๔: มาตรการทางภาษี</w:t>
      </w:r>
    </w:p>
    <w:p>
      <w:pPr>
        <w:spacing w:line="240" w:lineRule="auto" w:after="0"/>
        <w:ind w:firstLine="720"/>
        <w:jc w:val="both"/>
      </w:pPr>
      <w:r>
        <w:rPr>
          <w:rFonts w:ascii="TH Sarabun New" w:hAnsi="TH Sarabun New" w:cs="TH Sarabun New" w:eastAsia="TH Sarabun New"/>
          <w:b w:val="0"/>
          <w:i w:val="0"/>
          <w:sz w:val="32"/>
          <w:szCs w:val="32"/>
        </w:rPr>
        <w:t>เสาหลักที่สี่คือมาตรการทางเศรษฐศาสตร์และพฤติกรรม (Behavioral Economics) เพื่อสร้างแรงจูงใจให้ประชาชนเปลี่ยนพฤติกรรมการเดินทาง ผ่านการ "ลดต้นทุน" ของการใช้ระบบขนส่งสาธารณะ และ "เพิ่มต้นทุน" ของการใช้รถยนต์ส่วนตัวในเขตเมือง</w:t>
      </w:r>
    </w:p>
    <w:p>
      <w:pPr>
        <w:spacing w:before="160" w:after="80" w:line="240" w:lineRule="auto"/>
        <w:ind w:left="720"/>
        <w:jc w:val="left"/>
      </w:pPr>
      <w:r>
        <w:rPr>
          <w:rFonts w:ascii="TH Sarabun New" w:hAnsi="TH Sarabun New" w:cs="TH Sarabun New" w:eastAsia="TH Sarabun New"/>
          <w:b/>
          <w:i w:val="0"/>
          <w:sz w:val="32"/>
          <w:szCs w:val="32"/>
        </w:rPr>
        <w:t>๔.๔.๑ มาตรการ "ลดต้นทุน" (สนับสนุนผู้ใช้)</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Commuter Tax Deduction ๑๕,๐๐๐ บาท/ปี: ลดหย่อนภาษีบุคคล สำหรับค่าโดยสาร อ้างอิง USA IRC Section 132(f)</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Employer Transit Subsidy: นายจ้างจ่ายค่าโดยสารให้พนักงาน และนำมาหักภาษี อ้างอิง France Versement Mobilité</w:t>
      </w:r>
    </w:p>
    <w:p>
      <w:pPr>
        <w:spacing w:before="160" w:after="80" w:line="240" w:lineRule="auto"/>
        <w:ind w:left="720"/>
        <w:jc w:val="left"/>
      </w:pPr>
      <w:r>
        <w:rPr>
          <w:rFonts w:ascii="TH Sarabun New" w:hAnsi="TH Sarabun New" w:cs="TH Sarabun New" w:eastAsia="TH Sarabun New"/>
          <w:b/>
          <w:i w:val="0"/>
          <w:sz w:val="32"/>
          <w:szCs w:val="32"/>
        </w:rPr>
        <w:t>๔.๔.๒ มาตรการ "เพิ่มต้นทุน" (ลดการใช้รถยนต์ส่วนตัว)</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ภาษีรถยนต์แบบ Zone-based: เก็บภาษีรถสูงขึ้น ๒-๓ เท่าในเขต CBD อ้างอิง Singapore COE</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Workplace Parking Levy: เก็บค่าธรรมเนียมจอดรถในที่ทำงาน อ้างอิง Nottingham UK</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ERP (Electronic Road Pricing) ในเขต CBD กรุงเทพมหานคร อ้างอิง London/Stockholm/Singapore</w:t>
      </w:r>
    </w:p>
    <w:p>
      <w:r>
        <w:br w:type="page"/>
      </w:r>
    </w:p>
    <w:p>
      <w:pPr>
        <w:spacing w:before="0" w:after="0" w:line="240" w:lineRule="auto"/>
        <w:jc w:val="center"/>
      </w:pPr>
      <w:r>
        <w:rPr>
          <w:rFonts w:ascii="TH Sarabun New" w:hAnsi="TH Sarabun New" w:cs="TH Sarabun New" w:eastAsia="TH Sarabun New"/>
          <w:b/>
          <w:i w:val="0"/>
          <w:sz w:val="40"/>
          <w:szCs w:val="40"/>
        </w:rPr>
        <w:t>บทที่ ๕</w:t>
      </w:r>
    </w:p>
    <w:p>
      <w:pPr>
        <w:spacing w:before="0" w:after="360" w:line="240" w:lineRule="auto"/>
        <w:jc w:val="center"/>
      </w:pPr>
      <w:r>
        <w:rPr>
          <w:rFonts w:ascii="TH Sarabun New" w:hAnsi="TH Sarabun New" w:cs="TH Sarabun New" w:eastAsia="TH Sarabun New"/>
          <w:b/>
          <w:i w:val="0"/>
          <w:sz w:val="40"/>
          <w:szCs w:val="40"/>
        </w:rPr>
        <w:t>พื้นที่นำร่อง จังหวัดสมุทรปราการ</w:t>
      </w:r>
    </w:p>
    <w:p>
      <w:pPr>
        <w:spacing w:before="240" w:after="80" w:line="240" w:lineRule="auto"/>
        <w:jc w:val="center"/>
      </w:pPr>
      <w:r>
        <w:drawing>
          <wp:inline xmlns:a="http://schemas.openxmlformats.org/drawingml/2006/main" xmlns:pic="http://schemas.openxmlformats.org/drawingml/2006/picture">
            <wp:extent cx="5040000" cy="2835000"/>
            <wp:docPr id="6" name="Picture 6"/>
            <wp:cNvGraphicFramePr>
              <a:graphicFrameLocks noChangeAspect="1"/>
            </wp:cNvGraphicFramePr>
            <a:graphic>
              <a:graphicData uri="http://schemas.openxmlformats.org/drawingml/2006/picture">
                <pic:pic>
                  <pic:nvPicPr>
                    <pic:cNvPr id="0" name="slide-08.png"/>
                    <pic:cNvPicPr/>
                  </pic:nvPicPr>
                  <pic:blipFill>
                    <a:blip r:embed="rId17"/>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๕.๑ พื้นที่นำร่องและการดำเนินงานในจังหวัดสมุทรปราการ</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ประมวลผลจากข้อมูล รฟม., BTSC, การนิคมอุตสาหกรรมแห่งประเทศไทย (๒๕๖๖), กรมการขนส่งทางบก</w:t>
      </w:r>
    </w:p>
    <w:p>
      <w:pPr>
        <w:spacing w:before="240" w:after="120" w:line="240" w:lineRule="auto"/>
        <w:ind w:left="0"/>
        <w:jc w:val="left"/>
      </w:pPr>
      <w:r>
        <w:rPr>
          <w:rFonts w:ascii="TH Sarabun New" w:hAnsi="TH Sarabun New" w:cs="TH Sarabun New" w:eastAsia="TH Sarabun New"/>
          <w:b/>
          <w:i w:val="0"/>
          <w:sz w:val="36"/>
          <w:szCs w:val="36"/>
        </w:rPr>
        <w:t>๕.๑ เหตุผลในการเลือกจังหวัดสมุทรปราการ</w:t>
      </w:r>
    </w:p>
    <w:p>
      <w:pPr>
        <w:spacing w:line="240" w:lineRule="auto" w:after="0"/>
        <w:ind w:firstLine="720"/>
        <w:jc w:val="both"/>
      </w:pPr>
      <w:r>
        <w:rPr>
          <w:rFonts w:ascii="TH Sarabun New" w:hAnsi="TH Sarabun New" w:cs="TH Sarabun New" w:eastAsia="TH Sarabun New"/>
          <w:b w:val="0"/>
          <w:i w:val="0"/>
          <w:sz w:val="32"/>
          <w:szCs w:val="32"/>
        </w:rPr>
        <w:t>จังหวัดสมุทรปราการได้รับการเลือกเป็นพื้นที่นำร่องด้วยเหตุผลสำคัญ ๕ ประการ ดังนี้</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มีโครงข่ายระบบขนส่งครบทุกประเภท: BTS สีเขียวเข้ม (๙ สถานี) · MRT สีเหลือง (ปลายทางสถานีสำโรง) · ARL (สุวรรณภูมิ) · SRT สายตะวันออก และรถเมล์ ขสมก.</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ประชากรหนาแน่นและหลากหลาย: ประชากรทะเบียน ๑.๓๖ ล้านคน รวมประชากรแฝงอีกหลายแสนคน GPP/cap ปีละประมาณ ๓๑๑,๐๐๐ บาท</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มีนิคมอุตสาหกรรมขนาดใหญ่: นิคมบางปูและนิคมบางพลี รวมพนักงานกว่า ๑๐๐,๐๐๐ คน ที่มี shift work</w:t>
      </w:r>
    </w:p>
    <w:p>
      <w:pPr>
        <w:spacing w:line="240" w:lineRule="auto" w:after="80"/>
        <w:ind w:left="1134" w:hanging="425"/>
      </w:pPr>
      <w:r>
        <w:rPr>
          <w:rFonts w:ascii="TH Sarabun New" w:hAnsi="TH Sarabun New" w:cs="TH Sarabun New" w:eastAsia="TH Sarabun New"/>
          <w:b/>
          <w:i w:val="0"/>
          <w:sz w:val="32"/>
          <w:szCs w:val="32"/>
        </w:rPr>
        <w:t xml:space="preserve">๔.  </w:t>
      </w:r>
      <w:r>
        <w:rPr>
          <w:rFonts w:ascii="TH Sarabun New" w:hAnsi="TH Sarabun New" w:cs="TH Sarabun New" w:eastAsia="TH Sarabun New"/>
          <w:b w:val="0"/>
          <w:i w:val="0"/>
          <w:sz w:val="32"/>
          <w:szCs w:val="32"/>
        </w:rPr>
        <w:t>ใกล้กระทรวงคมนาคมและสนามบินสุวรรณภูมิ: สะดวกในการประสานงานและติดตามผล</w:t>
      </w:r>
    </w:p>
    <w:p>
      <w:pPr>
        <w:spacing w:line="240" w:lineRule="auto" w:after="80"/>
        <w:ind w:left="1134" w:hanging="425"/>
      </w:pPr>
      <w:r>
        <w:rPr>
          <w:rFonts w:ascii="TH Sarabun New" w:hAnsi="TH Sarabun New" w:cs="TH Sarabun New" w:eastAsia="TH Sarabun New"/>
          <w:b/>
          <w:i w:val="0"/>
          <w:sz w:val="32"/>
          <w:szCs w:val="32"/>
        </w:rPr>
        <w:t xml:space="preserve">๕.  </w:t>
      </w:r>
      <w:r>
        <w:rPr>
          <w:rFonts w:ascii="TH Sarabun New" w:hAnsi="TH Sarabun New" w:cs="TH Sarabun New" w:eastAsia="TH Sarabun New"/>
          <w:b w:val="0"/>
          <w:i w:val="0"/>
          <w:sz w:val="32"/>
          <w:szCs w:val="32"/>
        </w:rPr>
        <w:t>มีปัญหารุนแรงที่ต้องแก้ไข: AADT บนถนนสุขุมวิทช่วงปากน้ำ-สำโรง และบางนา-ตราด มากกว่า ๑๐๐,๐๐๐-๑๕๐,๐๐๐ คันต่อวัน</w:t>
      </w:r>
    </w:p>
    <w:p>
      <w:pPr>
        <w:spacing w:before="240" w:after="120" w:line="240" w:lineRule="auto"/>
        <w:ind w:left="0"/>
        <w:jc w:val="left"/>
      </w:pPr>
      <w:r>
        <w:rPr>
          <w:rFonts w:ascii="TH Sarabun New" w:hAnsi="TH Sarabun New" w:cs="TH Sarabun New" w:eastAsia="TH Sarabun New"/>
          <w:b/>
          <w:i w:val="0"/>
          <w:sz w:val="36"/>
          <w:szCs w:val="36"/>
        </w:rPr>
        <w:t>๕.๒ สถานภาพการขนส่งปัจจุบัน</w:t>
      </w:r>
    </w:p>
    <w:p>
      <w:pPr>
        <w:spacing w:before="240" w:after="80"/>
        <w:jc w:val="center"/>
      </w:pPr>
      <w:r>
        <w:rPr>
          <w:rFonts w:ascii="TH Sarabun New" w:hAnsi="TH Sarabun New" w:cs="TH Sarabun New" w:eastAsia="TH Sarabun New"/>
          <w:b/>
          <w:i w:val="0"/>
          <w:sz w:val="32"/>
          <w:szCs w:val="32"/>
        </w:rPr>
        <w:t>ตารางที่ ๕.๑ สถานภาพระบบขนส่งในจังหวัดสมุทรปราการ</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4153"/>
        <w:gridCol w:w="4153"/>
      </w:tblGrid>
      <w:tr>
        <w:tc>
          <w:tcPr>
            <w:tcW w:type="dxa" w:w="2268"/>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ระบบ</w:t>
            </w:r>
          </w:p>
        </w:tc>
        <w:tc>
          <w:tcPr>
            <w:tcW w:type="dxa" w:w="6236"/>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รายละเอียด</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BTS สีเขียวเข้ม</w:t>
            </w:r>
          </w:p>
        </w:tc>
        <w:tc>
          <w:tcPr>
            <w:tcW w:type="dxa" w:w="6236"/>
            <w:vAlign w:val="top"/>
          </w:tcPr>
          <w:p>
            <w:pPr>
              <w:spacing w:after="0" w:line="240" w:lineRule="auto"/>
              <w:jc w:val="left"/>
            </w:pPr>
            <w:r/>
            <w:r>
              <w:rPr>
                <w:rFonts w:ascii="TH Sarabun New" w:hAnsi="TH Sarabun New" w:cs="TH Sarabun New" w:eastAsia="TH Sarabun New"/>
                <w:b w:val="0"/>
                <w:i w:val="0"/>
                <w:sz w:val="30"/>
                <w:szCs w:val="30"/>
              </w:rPr>
              <w:t>๙ สถานี (สำโรง-เคหะฯ) · ระยะทาง ๑๒.๘ กม. · เปิดธันวาคม ๒๕๖๑</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MRT สีเหลือง</w:t>
            </w:r>
          </w:p>
        </w:tc>
        <w:tc>
          <w:tcPr>
            <w:tcW w:type="dxa" w:w="6236"/>
            <w:vAlign w:val="top"/>
          </w:tcPr>
          <w:p>
            <w:pPr>
              <w:spacing w:after="0" w:line="240" w:lineRule="auto"/>
              <w:jc w:val="left"/>
            </w:pPr>
            <w:r/>
            <w:r>
              <w:rPr>
                <w:rFonts w:ascii="TH Sarabun New" w:hAnsi="TH Sarabun New" w:cs="TH Sarabun New" w:eastAsia="TH Sarabun New"/>
                <w:b w:val="0"/>
                <w:i w:val="0"/>
                <w:sz w:val="30"/>
                <w:szCs w:val="30"/>
              </w:rPr>
              <w:t>ปลายทางสถานีสำโรง · เชื่อม BTS สีเขียวเข้ม · เปิดมิถุนายน ๒๕๖๖</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ARL</w:t>
            </w:r>
          </w:p>
        </w:tc>
        <w:tc>
          <w:tcPr>
            <w:tcW w:type="dxa" w:w="6236"/>
            <w:vAlign w:val="top"/>
          </w:tcPr>
          <w:p>
            <w:pPr>
              <w:spacing w:after="0" w:line="240" w:lineRule="auto"/>
              <w:jc w:val="left"/>
            </w:pPr>
            <w:r/>
            <w:r>
              <w:rPr>
                <w:rFonts w:ascii="TH Sarabun New" w:hAnsi="TH Sarabun New" w:cs="TH Sarabun New" w:eastAsia="TH Sarabun New"/>
                <w:b w:val="0"/>
                <w:i w:val="0"/>
                <w:sz w:val="30"/>
                <w:szCs w:val="30"/>
              </w:rPr>
              <w:t>สถานีสุวรรณภูมิ ในอำเภอบางพลี · ผู้โดยสาร ๗๐,๐๐๐-๘๐,๐๐๐ คน/วัน</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SRT สายตะวันออก</w:t>
            </w:r>
          </w:p>
        </w:tc>
        <w:tc>
          <w:tcPr>
            <w:tcW w:type="dxa" w:w="6236"/>
            <w:vAlign w:val="top"/>
          </w:tcPr>
          <w:p>
            <w:pPr>
              <w:spacing w:after="0" w:line="240" w:lineRule="auto"/>
              <w:jc w:val="left"/>
            </w:pPr>
            <w:r/>
            <w:r>
              <w:rPr>
                <w:rFonts w:ascii="TH Sarabun New" w:hAnsi="TH Sarabun New" w:cs="TH Sarabun New" w:eastAsia="TH Sarabun New"/>
                <w:b w:val="0"/>
                <w:i w:val="0"/>
                <w:sz w:val="30"/>
                <w:szCs w:val="30"/>
              </w:rPr>
              <w:t>ผ่านอำเภอบางพลีและบางบ่อ · เชื่อมต่อกับ EEC</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รถเมล์ ขสมก.</w:t>
            </w:r>
          </w:p>
        </w:tc>
        <w:tc>
          <w:tcPr>
            <w:tcW w:type="dxa" w:w="6236"/>
            <w:vAlign w:val="top"/>
          </w:tcPr>
          <w:p>
            <w:pPr>
              <w:spacing w:after="0" w:line="240" w:lineRule="auto"/>
              <w:jc w:val="left"/>
            </w:pPr>
            <w:r/>
            <w:r>
              <w:rPr>
                <w:rFonts w:ascii="TH Sarabun New" w:hAnsi="TH Sarabun New" w:cs="TH Sarabun New" w:eastAsia="TH Sarabun New"/>
                <w:b w:val="0"/>
                <w:i w:val="0"/>
                <w:sz w:val="30"/>
                <w:szCs w:val="30"/>
              </w:rPr>
              <w:t>~๓๐ เส้นทางครอบคลุมจังหวัด · ใช้เงินสดและบัตรเป็นส่วนใหญ่</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เรือคลองด่าน</w:t>
            </w:r>
          </w:p>
        </w:tc>
        <w:tc>
          <w:tcPr>
            <w:tcW w:type="dxa" w:w="6236"/>
            <w:vAlign w:val="top"/>
          </w:tcPr>
          <w:p>
            <w:pPr>
              <w:spacing w:after="0" w:line="240" w:lineRule="auto"/>
              <w:jc w:val="left"/>
            </w:pPr>
            <w:r/>
            <w:r>
              <w:rPr>
                <w:rFonts w:ascii="TH Sarabun New" w:hAnsi="TH Sarabun New" w:cs="TH Sarabun New" w:eastAsia="TH Sarabun New"/>
                <w:b w:val="0"/>
                <w:i w:val="0"/>
                <w:sz w:val="30"/>
                <w:szCs w:val="30"/>
              </w:rPr>
              <w:t>๕ เส้นทาง · ส่วนใหญ่เป็นเรือไม้แบบดั้งเดิม</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วินมอเตอร์ไซค์</w:t>
            </w:r>
          </w:p>
        </w:tc>
        <w:tc>
          <w:tcPr>
            <w:tcW w:type="dxa" w:w="6236"/>
            <w:vAlign w:val="top"/>
          </w:tcPr>
          <w:p>
            <w:pPr>
              <w:spacing w:after="0" w:line="240" w:lineRule="auto"/>
              <w:jc w:val="left"/>
            </w:pPr>
            <w:r/>
            <w:r>
              <w:rPr>
                <w:rFonts w:ascii="TH Sarabun New" w:hAnsi="TH Sarabun New" w:cs="TH Sarabun New" w:eastAsia="TH Sarabun New"/>
                <w:b w:val="0"/>
                <w:i w:val="0"/>
                <w:sz w:val="30"/>
                <w:szCs w:val="30"/>
              </w:rPr>
              <w:t>มากกว่า ๕,๐๐๐ จุดจอดทั่วจังหวัด · ใช้เงินสดเป็นหลัก</w:t>
            </w:r>
          </w:p>
        </w:tc>
      </w:tr>
    </w:tbl>
    <w:p>
      <w:pPr>
        <w:spacing w:after="160"/>
      </w:pPr>
    </w:p>
    <w:p>
      <w:pPr>
        <w:spacing w:before="240" w:after="120" w:line="240" w:lineRule="auto"/>
        <w:ind w:left="0"/>
        <w:jc w:val="left"/>
      </w:pPr>
      <w:r>
        <w:rPr>
          <w:rFonts w:ascii="TH Sarabun New" w:hAnsi="TH Sarabun New" w:cs="TH Sarabun New" w:eastAsia="TH Sarabun New"/>
          <w:b/>
          <w:i w:val="0"/>
          <w:sz w:val="36"/>
          <w:szCs w:val="36"/>
        </w:rPr>
        <w:t>๕.๓ แผนการดำเนินงานในพื้นที่นำร่อง</w:t>
      </w:r>
    </w:p>
    <w:p>
      <w:pPr>
        <w:spacing w:line="240" w:lineRule="auto" w:after="0"/>
        <w:ind w:firstLine="720"/>
        <w:jc w:val="both"/>
      </w:pPr>
      <w:r>
        <w:rPr>
          <w:rFonts w:ascii="TH Sarabun New" w:hAnsi="TH Sarabun New" w:cs="TH Sarabun New" w:eastAsia="TH Sarabun New"/>
          <w:b w:val="0"/>
          <w:i w:val="0"/>
          <w:sz w:val="32"/>
          <w:szCs w:val="32"/>
        </w:rPr>
        <w:t>แผนการดำเนินงานในพื้นที่นำร่องครอบคลุมการดำเนินการ ๔ เสาหลัก ระยะเวลา ๓ ปี (พ.ศ. ๒๕๗๐-๒๕๗๒) ดังนี้</w:t>
      </w:r>
    </w:p>
    <w:p>
      <w:pPr>
        <w:spacing w:before="160" w:after="80" w:line="240" w:lineRule="auto"/>
        <w:ind w:left="720"/>
        <w:jc w:val="left"/>
      </w:pPr>
      <w:r>
        <w:rPr>
          <w:rFonts w:ascii="TH Sarabun New" w:hAnsi="TH Sarabun New" w:cs="TH Sarabun New" w:eastAsia="TH Sarabun New"/>
          <w:b/>
          <w:i w:val="0"/>
          <w:sz w:val="32"/>
          <w:szCs w:val="32"/>
        </w:rPr>
        <w:t>๕.๓.๑ เสาที่ ๑: ระบบตั๋วร่วม</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BTS Green EMV migration ที่สถานีสมุทรปราการ ๙ สถานี · ไตรมาสที่ ๒ พ.ศ. ๒๕๗๐</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ARL สถานีสุวรรณภูมิ รับ EMV (ดำเนินการแล้ว ตุลาคม พ.ศ. ๒๕๖๘)</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รถเมล์ ขสมก. สมุทรปราการ ติดตั้ง EMV/QR reader</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Feeder EV ของ อบจ. ใช้ระบบเดียวกัน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NTCH ทำหน้าที่ clearing ในจังหวัด</w:t>
      </w:r>
    </w:p>
    <w:p>
      <w:pPr>
        <w:spacing w:before="160" w:after="80" w:line="240" w:lineRule="auto"/>
        <w:ind w:left="720"/>
        <w:jc w:val="left"/>
      </w:pPr>
      <w:r>
        <w:rPr>
          <w:rFonts w:ascii="TH Sarabun New" w:hAnsi="TH Sarabun New" w:cs="TH Sarabun New" w:eastAsia="TH Sarabun New"/>
          <w:b/>
          <w:i w:val="0"/>
          <w:sz w:val="32"/>
          <w:szCs w:val="32"/>
        </w:rPr>
        <w:t>๕.๓.๒ เสาที่ ๒: MaaS App Beta</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เปิดให้บริการเฉพาะในจังหวัดสมุทรปราการก่อน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เชื่อม ๖ ระบบ: BTS, ARL, MRT สีเหลือง, ขสมก., Grab, Feeder EV</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งบประมาณ ๒๐๐ ล้านบาท/ปี × ๓ ปี</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เป้าหมาย: ๒๐๐,๐๐๐ DAU (Daily Active Users) ใน ๒ ปีแรก</w:t>
      </w:r>
    </w:p>
    <w:p>
      <w:pPr>
        <w:spacing w:before="160" w:after="80" w:line="240" w:lineRule="auto"/>
        <w:ind w:left="720"/>
        <w:jc w:val="left"/>
      </w:pPr>
      <w:r>
        <w:rPr>
          <w:rFonts w:ascii="TH Sarabun New" w:hAnsi="TH Sarabun New" w:cs="TH Sarabun New" w:eastAsia="TH Sarabun New"/>
          <w:b/>
          <w:i w:val="0"/>
          <w:sz w:val="32"/>
          <w:szCs w:val="32"/>
        </w:rPr>
        <w:t>๕.๓.๓ เสาที่ ๓: Complete Streets ๓ พื้นที่</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ถนนศรีนครินทร์ (๕ กม.): งบประมาณ ๑๘๐ ล้านบาท</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ถนนนารายณ์-ปากน้ำ (๔ กม.): งบประมาณ ๒๐๐-๓๐๐ ล้านบาท</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ถนนบางนา-ตราด (๖ กม.): งบประมาณ ๓๑๐ ล้านบาท</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Park &amp; Ride ๓ จุด: เคหะฯ, แพรกษา, ทิพวัล</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Smart Win EV ๑,๐๐๐ คัน: วินมอเตอร์ไซค์ไฟฟ้าในจังหวัด</w:t>
      </w:r>
    </w:p>
    <w:p>
      <w:pPr>
        <w:spacing w:before="160" w:after="80" w:line="240" w:lineRule="auto"/>
        <w:ind w:left="720"/>
        <w:jc w:val="left"/>
      </w:pPr>
      <w:r>
        <w:rPr>
          <w:rFonts w:ascii="TH Sarabun New" w:hAnsi="TH Sarabun New" w:cs="TH Sarabun New" w:eastAsia="TH Sarabun New"/>
          <w:b/>
          <w:i w:val="0"/>
          <w:sz w:val="32"/>
          <w:szCs w:val="32"/>
        </w:rPr>
        <w:t>๕.๓.๔ เสาที่ ๔: Commuter Tax Pilot</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ลดหย่อนภาษี ๑๕,๐๐๐ บาท/ปี สำหรับพนักงานในนิคมบางปูและบางพลี</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นายจ้างหักให้พนักงานและนำมาหักภาษีนิติบุคคล</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คาดการณ์ผู้ใช้สิทธิ ๓๐,๐๐๐-๔๐,๐๐๐ คนในปีแรก</w:t>
      </w:r>
    </w:p>
    <w:p>
      <w:pPr>
        <w:spacing w:before="240" w:after="120" w:line="240" w:lineRule="auto"/>
        <w:ind w:left="0"/>
        <w:jc w:val="left"/>
      </w:pPr>
      <w:r>
        <w:rPr>
          <w:rFonts w:ascii="TH Sarabun New" w:hAnsi="TH Sarabun New" w:cs="TH Sarabun New" w:eastAsia="TH Sarabun New"/>
          <w:b/>
          <w:i w:val="0"/>
          <w:sz w:val="36"/>
          <w:szCs w:val="36"/>
        </w:rPr>
        <w:t>๕.๔ การเปรียบเทียบกับจังหวัดอื่น</w:t>
      </w:r>
    </w:p>
    <w:p>
      <w:pPr>
        <w:spacing w:before="240" w:after="80"/>
        <w:jc w:val="center"/>
      </w:pPr>
      <w:r>
        <w:rPr>
          <w:rFonts w:ascii="TH Sarabun New" w:hAnsi="TH Sarabun New" w:cs="TH Sarabun New" w:eastAsia="TH Sarabun New"/>
          <w:b/>
          <w:i w:val="0"/>
          <w:sz w:val="32"/>
          <w:szCs w:val="32"/>
        </w:rPr>
        <w:t>ตารางที่ ๕.๒ เปรียบเทียบจังหวัดที่เหมาะสำหรับ Pilot</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2769"/>
        <w:gridCol w:w="2769"/>
        <w:gridCol w:w="2769"/>
      </w:tblGrid>
      <w:tr>
        <w:tc>
          <w:tcPr>
            <w:tcW w:type="dxa" w:w="1417"/>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จังหวัด</w:t>
            </w:r>
          </w:p>
        </w:tc>
        <w:tc>
          <w:tcPr>
            <w:tcW w:type="dxa" w:w="3402"/>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ระบบหลัก</w:t>
            </w:r>
          </w:p>
        </w:tc>
        <w:tc>
          <w:tcPr>
            <w:tcW w:type="dxa" w:w="3685"/>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บทเรียนสำหรับสมุทรปราการ</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นนทบุรี</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MRT สีม่วง ๑๖ สถานี + Feeder ๑๓ เส้น + Park &amp; Ride ๓ จุด</w:t>
            </w:r>
          </w:p>
        </w:tc>
        <w:tc>
          <w:tcPr>
            <w:tcW w:type="dxa" w:w="3685"/>
            <w:vAlign w:val="top"/>
          </w:tcPr>
          <w:p>
            <w:pPr>
              <w:spacing w:after="0" w:line="240" w:lineRule="auto"/>
              <w:jc w:val="left"/>
            </w:pPr>
            <w:r/>
            <w:r>
              <w:rPr>
                <w:rFonts w:ascii="TH Sarabun New" w:hAnsi="TH Sarabun New" w:cs="TH Sarabun New" w:eastAsia="TH Sarabun New"/>
                <w:b w:val="0"/>
                <w:i w:val="0"/>
                <w:sz w:val="30"/>
                <w:szCs w:val="30"/>
              </w:rPr>
              <w:t>นำ Park &amp; Ride + Feeder ตามนิคม มาใช้</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ปทุมธานี</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BTS เขียวอ่อนถึงคูคต + ARL ดอนเมือง</w:t>
            </w:r>
          </w:p>
        </w:tc>
        <w:tc>
          <w:tcPr>
            <w:tcW w:type="dxa" w:w="3685"/>
            <w:vAlign w:val="top"/>
          </w:tcPr>
          <w:p>
            <w:pPr>
              <w:spacing w:after="0" w:line="240" w:lineRule="auto"/>
              <w:jc w:val="left"/>
            </w:pPr>
            <w:r/>
            <w:r>
              <w:rPr>
                <w:rFonts w:ascii="TH Sarabun New" w:hAnsi="TH Sarabun New" w:cs="TH Sarabun New" w:eastAsia="TH Sarabun New"/>
                <w:b w:val="0"/>
                <w:i w:val="0"/>
                <w:sz w:val="30"/>
                <w:szCs w:val="30"/>
              </w:rPr>
              <w:t>นำ TOD รอบสถานี ARL มาใช้ที่ ARL สุวรรณภูมิ</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ภูเก็ต</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ไม่มีระบบราง · Smart EV Bus · อบจ. เดินรถเอง</w:t>
            </w:r>
          </w:p>
        </w:tc>
        <w:tc>
          <w:tcPr>
            <w:tcW w:type="dxa" w:w="3685"/>
            <w:vAlign w:val="top"/>
          </w:tcPr>
          <w:p>
            <w:pPr>
              <w:spacing w:after="0" w:line="240" w:lineRule="auto"/>
              <w:jc w:val="left"/>
            </w:pPr>
            <w:r/>
            <w:r>
              <w:rPr>
                <w:rFonts w:ascii="TH Sarabun New" w:hAnsi="TH Sarabun New" w:cs="TH Sarabun New" w:eastAsia="TH Sarabun New"/>
                <w:b w:val="0"/>
                <w:i w:val="0"/>
                <w:sz w:val="30"/>
                <w:szCs w:val="30"/>
              </w:rPr>
              <w:t>ให้ อบจ. สมุทรปราการ จัด Feeder EV ทันที</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เชียงใหม่</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LRT ๓ สาย กำลังศึกษา · เทศบาลเดินรถเอง</w:t>
            </w:r>
          </w:p>
        </w:tc>
        <w:tc>
          <w:tcPr>
            <w:tcW w:type="dxa" w:w="3685"/>
            <w:vAlign w:val="top"/>
          </w:tcPr>
          <w:p>
            <w:pPr>
              <w:spacing w:after="0" w:line="240" w:lineRule="auto"/>
              <w:jc w:val="left"/>
            </w:pPr>
            <w:r/>
            <w:r>
              <w:rPr>
                <w:rFonts w:ascii="TH Sarabun New" w:hAnsi="TH Sarabun New" w:cs="TH Sarabun New" w:eastAsia="TH Sarabun New"/>
                <w:b w:val="0"/>
                <w:i w:val="0"/>
                <w:sz w:val="30"/>
                <w:szCs w:val="30"/>
              </w:rPr>
              <w:t>EV Public Transport ลด PM2.5 จากนิคมบางปู</w:t>
            </w:r>
          </w:p>
        </w:tc>
      </w:tr>
    </w:tbl>
    <w:p>
      <w:pPr>
        <w:spacing w:after="160"/>
      </w:pPr>
    </w:p>
    <w:p>
      <w:r>
        <w:br w:type="page"/>
      </w:r>
    </w:p>
    <w:p>
      <w:pPr>
        <w:spacing w:before="0" w:after="0" w:line="240" w:lineRule="auto"/>
        <w:jc w:val="center"/>
      </w:pPr>
      <w:r>
        <w:rPr>
          <w:rFonts w:ascii="TH Sarabun New" w:hAnsi="TH Sarabun New" w:cs="TH Sarabun New" w:eastAsia="TH Sarabun New"/>
          <w:b/>
          <w:i w:val="0"/>
          <w:sz w:val="40"/>
          <w:szCs w:val="40"/>
        </w:rPr>
        <w:t>บทที่ ๖</w:t>
      </w:r>
    </w:p>
    <w:p>
      <w:pPr>
        <w:spacing w:before="0" w:after="360" w:line="240" w:lineRule="auto"/>
        <w:jc w:val="center"/>
      </w:pPr>
      <w:r>
        <w:rPr>
          <w:rFonts w:ascii="TH Sarabun New" w:hAnsi="TH Sarabun New" w:cs="TH Sarabun New" w:eastAsia="TH Sarabun New"/>
          <w:b/>
          <w:i w:val="0"/>
          <w:sz w:val="40"/>
          <w:szCs w:val="40"/>
        </w:rPr>
        <w:t>แผนปฏิบัติการ</w:t>
      </w:r>
    </w:p>
    <w:p>
      <w:pPr>
        <w:spacing w:before="240" w:after="80" w:line="240" w:lineRule="auto"/>
        <w:jc w:val="center"/>
      </w:pPr>
      <w:r>
        <w:drawing>
          <wp:inline xmlns:a="http://schemas.openxmlformats.org/drawingml/2006/main" xmlns:pic="http://schemas.openxmlformats.org/drawingml/2006/picture">
            <wp:extent cx="5040000" cy="2835000"/>
            <wp:docPr id="7" name="Picture 7"/>
            <wp:cNvGraphicFramePr>
              <a:graphicFrameLocks noChangeAspect="1"/>
            </wp:cNvGraphicFramePr>
            <a:graphic>
              <a:graphicData uri="http://schemas.openxmlformats.org/drawingml/2006/picture">
                <pic:pic>
                  <pic:nvPicPr>
                    <pic:cNvPr id="0" name="slide-06.png"/>
                    <pic:cNvPicPr/>
                  </pic:nvPicPr>
                  <pic:blipFill>
                    <a:blip r:embed="rId18"/>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๖.๑ Roadmap ๓ ระยะ · ๑๐ ปี (พ.ศ. ๒๕๖๙-๒๕๗๖)</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w:t>
      </w:r>
    </w:p>
    <w:p>
      <w:pPr>
        <w:spacing w:before="240" w:after="120" w:line="240" w:lineRule="auto"/>
        <w:ind w:left="0"/>
        <w:jc w:val="left"/>
      </w:pPr>
      <w:r>
        <w:rPr>
          <w:rFonts w:ascii="TH Sarabun New" w:hAnsi="TH Sarabun New" w:cs="TH Sarabun New" w:eastAsia="TH Sarabun New"/>
          <w:b/>
          <w:i w:val="0"/>
          <w:sz w:val="36"/>
          <w:szCs w:val="36"/>
        </w:rPr>
        <w:t>๖.๑ Roadmap ๓ ระยะ ๑๐ ปี</w:t>
      </w:r>
    </w:p>
    <w:p>
      <w:pPr>
        <w:spacing w:before="160" w:after="80" w:line="240" w:lineRule="auto"/>
        <w:ind w:left="720"/>
        <w:jc w:val="left"/>
      </w:pPr>
      <w:r>
        <w:rPr>
          <w:rFonts w:ascii="TH Sarabun New" w:hAnsi="TH Sarabun New" w:cs="TH Sarabun New" w:eastAsia="TH Sarabun New"/>
          <w:b/>
          <w:i w:val="0"/>
          <w:sz w:val="32"/>
          <w:szCs w:val="32"/>
        </w:rPr>
        <w:t>๖.๑.๑ ระยะที่ ๑: วางฐานราก (พ.ศ. ๒๕๖๙-๒๕๗๐)</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ออกกฎหมายลำดับรองของ พ.ร.บ. ระบบตั๋วร่วม พ.ศ. ๒๕๖๘</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จัดตั้ง NTCH (National Transit Clearing House)</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MOT Data Catalog ๒.๐: บังคับ operators ส่งข้อมูล GTFS/GBFS</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เตรียมการ BTS Green EMV migration</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จัดตั้งกองทุนตั๋วร่วม seed</w:t>
      </w:r>
    </w:p>
    <w:p>
      <w:pPr>
        <w:spacing w:before="160" w:after="80" w:line="240" w:lineRule="auto"/>
        <w:ind w:left="720"/>
        <w:jc w:val="left"/>
      </w:pPr>
      <w:r>
        <w:rPr>
          <w:rFonts w:ascii="TH Sarabun New" w:hAnsi="TH Sarabun New" w:cs="TH Sarabun New" w:eastAsia="TH Sarabun New"/>
          <w:b/>
          <w:i w:val="0"/>
          <w:sz w:val="32"/>
          <w:szCs w:val="32"/>
        </w:rPr>
        <w:t>๖.๑.๒ ระยะที่ ๒: นำร่องสมุทรปราการ (พ.ศ. ๒๕๗๐-๒๕๗๒)</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เปิด MaaS App Beta ที่จังหวัดสมุทรปราการ</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Feeder Bus EV ของ อบจ. ๕ เส้นทาง · งบประมาณ ๙๐๐-๑,๒๐๐ ล้านบาท</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Complete Streets นำร่อง ๓ พื้นที่</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Park &amp; Ride ๓ จุด + Smart Win EV ๑,๐๐๐ คัน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Commuter Tax Deduction Pilot ๑๕,๐๐๐ บาท/ปี</w:t>
      </w:r>
    </w:p>
    <w:p>
      <w:pPr>
        <w:spacing w:before="160" w:after="80" w:line="240" w:lineRule="auto"/>
        <w:ind w:left="720"/>
        <w:jc w:val="left"/>
      </w:pPr>
      <w:r>
        <w:rPr>
          <w:rFonts w:ascii="TH Sarabun New" w:hAnsi="TH Sarabun New" w:cs="TH Sarabun New" w:eastAsia="TH Sarabun New"/>
          <w:b/>
          <w:i w:val="0"/>
          <w:sz w:val="32"/>
          <w:szCs w:val="32"/>
        </w:rPr>
        <w:t>๖.๑.๓ ระยะที่ ๓: ขยายผล (พ.ศ. ๒๕๗๒-๒๕๗๖)</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ขยาย MaaS App ไปยังจังหวัดอื่น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Workplace Parking Levy + ERP Pilot ในเขต CBD กรุงเทพมหานคร</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บังคับใช้ Complete Streets เป็น Regulation</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Employer Transit Subsidy แบบ Versement Mobilité</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เป้าหมายปี พ.ศ. ๒๕๗๖: Public Transport share ≥ ๒๐% และ CO₂ -๓๐%</w:t>
      </w:r>
    </w:p>
    <w:p>
      <w:pPr>
        <w:spacing w:before="240" w:after="120" w:line="240" w:lineRule="auto"/>
        <w:ind w:left="0"/>
        <w:jc w:val="left"/>
      </w:pPr>
      <w:r>
        <w:rPr>
          <w:rFonts w:ascii="TH Sarabun New" w:hAnsi="TH Sarabun New" w:cs="TH Sarabun New" w:eastAsia="TH Sarabun New"/>
          <w:b/>
          <w:i w:val="0"/>
          <w:sz w:val="36"/>
          <w:szCs w:val="36"/>
        </w:rPr>
        <w:t>๖.๒ บทบาทของหน่วยงานที่เกี่ยวข้อง</w:t>
      </w:r>
    </w:p>
    <w:p>
      <w:pPr>
        <w:spacing w:before="240" w:after="80" w:line="240" w:lineRule="auto"/>
        <w:jc w:val="center"/>
      </w:pPr>
      <w:r>
        <w:drawing>
          <wp:inline xmlns:a="http://schemas.openxmlformats.org/drawingml/2006/main" xmlns:pic="http://schemas.openxmlformats.org/drawingml/2006/picture">
            <wp:extent cx="5040000" cy="2835000"/>
            <wp:docPr id="8" name="Picture 8"/>
            <wp:cNvGraphicFramePr>
              <a:graphicFrameLocks noChangeAspect="1"/>
            </wp:cNvGraphicFramePr>
            <a:graphic>
              <a:graphicData uri="http://schemas.openxmlformats.org/drawingml/2006/picture">
                <pic:pic>
                  <pic:nvPicPr>
                    <pic:cNvPr id="0" name="slide-09.png"/>
                    <pic:cNvPicPr/>
                  </pic:nvPicPr>
                  <pic:blipFill>
                    <a:blip r:embed="rId19"/>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๖.๒ บทบาทหน่วยงาน ๑๒ หน่วยใน ๓ ระดับ</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ประมวลผลจากโครงสร้างกระทรวงคมนาคม</w:t>
      </w:r>
    </w:p>
    <w:p>
      <w:pPr>
        <w:spacing w:line="240" w:lineRule="auto" w:after="0"/>
        <w:ind w:firstLine="720"/>
        <w:jc w:val="both"/>
      </w:pPr>
      <w:r>
        <w:rPr>
          <w:rFonts w:ascii="TH Sarabun New" w:hAnsi="TH Sarabun New" w:cs="TH Sarabun New" w:eastAsia="TH Sarabun New"/>
          <w:b w:val="0"/>
          <w:i w:val="0"/>
          <w:sz w:val="32"/>
          <w:szCs w:val="32"/>
        </w:rPr>
        <w:t>แบ่งหน่วยงานออกเป็น ๓ ระดับ: ระดับนโยบาย ระดับผู้กำกับ และระดับผู้ดำเนินการ ดังตารางที่ ๖.๒</w:t>
      </w:r>
    </w:p>
    <w:p>
      <w:pPr>
        <w:spacing w:before="240" w:after="80"/>
        <w:jc w:val="center"/>
      </w:pPr>
      <w:r>
        <w:rPr>
          <w:rFonts w:ascii="TH Sarabun New" w:hAnsi="TH Sarabun New" w:cs="TH Sarabun New" w:eastAsia="TH Sarabun New"/>
          <w:b/>
          <w:i w:val="0"/>
          <w:sz w:val="32"/>
          <w:szCs w:val="32"/>
        </w:rPr>
        <w:t>ตารางที่ ๖.๒ บทบาทของหน่วยงาน</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2769"/>
        <w:gridCol w:w="2769"/>
        <w:gridCol w:w="2769"/>
      </w:tblGrid>
      <w:tr>
        <w:tc>
          <w:tcPr>
            <w:tcW w:type="dxa" w:w="1417"/>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ระดับ</w:t>
            </w:r>
          </w:p>
        </w:tc>
        <w:tc>
          <w:tcPr>
            <w:tcW w:type="dxa" w:w="2268"/>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หน่วยงาน</w:t>
            </w:r>
          </w:p>
        </w:tc>
        <w:tc>
          <w:tcPr>
            <w:tcW w:type="dxa" w:w="4819"/>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งานที่ต้องดำเนินการ</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นโยบาย</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กระทรวงคมนาคม</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Joint Task Force · ประธาน NTCH · Quick Win ๗๒ โครงการ</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นโยบาย</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สนข./OTP</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กฎหมายลำดับรอง · มาตรฐาน ABT · ติดตาม KPI</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นโยบาย</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กระทรวงคลัง</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Commuter Tax Deduction · ภาษีรถ zone-based</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นโยบาย</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กระทรวงดิจิทัล+DGA</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MOT Data Catalog ๒.๐ + ThaID · Open API</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ผู้กำกับ</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กรมขนส่งทางราง</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พ.ร.บ. ขนส่งทางราง + กฎหมายลูก</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ผู้กำกับ</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กรมการขนส่งทางบก</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Legalize app-based moto · มาตรฐาน feeder อปท.</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ผู้กำกับ</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กรมเจ้าท่า</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E-Ferry ๕ เส้นทาง · Smart Pier</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ผู้กำกับ</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กรมทางหลวง+ชนบท</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Complete Streets นำร่อง · PLOS Audit</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ดำเนินการ</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รฟม.</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MRT Plus EMV ทุกสาย · Open API</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ดำเนินการ</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SRT + SRTET</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Red Line + ARL + Eastern · ABT รับ EMV</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ดำเนินการ</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BTSC</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EMV migration · Park &amp; Ride สมุทรปราการ</w:t>
            </w:r>
          </w:p>
        </w:tc>
      </w:tr>
      <w:tr>
        <w:tc>
          <w:tcPr>
            <w:tcW w:type="dxa" w:w="1417"/>
            <w:vAlign w:val="top"/>
          </w:tcPr>
          <w:p>
            <w:pPr>
              <w:spacing w:after="0" w:line="240" w:lineRule="auto"/>
              <w:jc w:val="left"/>
            </w:pPr>
            <w:r/>
            <w:r>
              <w:rPr>
                <w:rFonts w:ascii="TH Sarabun New" w:hAnsi="TH Sarabun New" w:cs="TH Sarabun New" w:eastAsia="TH Sarabun New"/>
                <w:b w:val="0"/>
                <w:i w:val="0"/>
                <w:sz w:val="30"/>
                <w:szCs w:val="30"/>
              </w:rPr>
              <w:t>ดำเนินการ</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ขสมก. + อบจ. + กทม.</w:t>
            </w:r>
          </w:p>
        </w:tc>
        <w:tc>
          <w:tcPr>
            <w:tcW w:type="dxa" w:w="4819"/>
            <w:vAlign w:val="top"/>
          </w:tcPr>
          <w:p>
            <w:pPr>
              <w:spacing w:after="0" w:line="240" w:lineRule="auto"/>
              <w:jc w:val="left"/>
            </w:pPr>
            <w:r/>
            <w:r>
              <w:rPr>
                <w:rFonts w:ascii="TH Sarabun New" w:hAnsi="TH Sarabun New" w:cs="TH Sarabun New" w:eastAsia="TH Sarabun New"/>
                <w:b w:val="0"/>
                <w:i w:val="0"/>
                <w:sz w:val="30"/>
                <w:szCs w:val="30"/>
              </w:rPr>
              <w:t>รถเมล์ EV · Feeder · ERP pilot</w:t>
            </w:r>
          </w:p>
        </w:tc>
      </w:tr>
    </w:tbl>
    <w:p>
      <w:pPr>
        <w:spacing w:after="160"/>
      </w:pPr>
    </w:p>
    <w:p>
      <w:r>
        <w:br w:type="page"/>
      </w:r>
    </w:p>
    <w:p>
      <w:pPr>
        <w:spacing w:before="0" w:after="0" w:line="240" w:lineRule="auto"/>
        <w:jc w:val="center"/>
      </w:pPr>
      <w:r>
        <w:rPr>
          <w:rFonts w:ascii="TH Sarabun New" w:hAnsi="TH Sarabun New" w:cs="TH Sarabun New" w:eastAsia="TH Sarabun New"/>
          <w:b/>
          <w:i w:val="0"/>
          <w:sz w:val="40"/>
          <w:szCs w:val="40"/>
        </w:rPr>
        <w:t>บทที่ ๗</w:t>
      </w:r>
    </w:p>
    <w:p>
      <w:pPr>
        <w:spacing w:before="0" w:after="360" w:line="240" w:lineRule="auto"/>
        <w:jc w:val="center"/>
      </w:pPr>
      <w:r>
        <w:rPr>
          <w:rFonts w:ascii="TH Sarabun New" w:hAnsi="TH Sarabun New" w:cs="TH Sarabun New" w:eastAsia="TH Sarabun New"/>
          <w:b/>
          <w:i w:val="0"/>
          <w:sz w:val="40"/>
          <w:szCs w:val="40"/>
        </w:rPr>
        <w:t>การวิเคราะห์งบประมาณและความคุ้มค่า</w:t>
      </w:r>
    </w:p>
    <w:p>
      <w:pPr>
        <w:spacing w:before="240" w:after="80" w:line="240" w:lineRule="auto"/>
        <w:jc w:val="center"/>
      </w:pPr>
      <w:r>
        <w:drawing>
          <wp:inline xmlns:a="http://schemas.openxmlformats.org/drawingml/2006/main" xmlns:pic="http://schemas.openxmlformats.org/drawingml/2006/picture">
            <wp:extent cx="5040000" cy="2835000"/>
            <wp:docPr id="9" name="Picture 9"/>
            <wp:cNvGraphicFramePr>
              <a:graphicFrameLocks noChangeAspect="1"/>
            </wp:cNvGraphicFramePr>
            <a:graphic>
              <a:graphicData uri="http://schemas.openxmlformats.org/drawingml/2006/picture">
                <pic:pic>
                  <pic:nvPicPr>
                    <pic:cNvPr id="0" name="slide-10.png"/>
                    <pic:cNvPicPr/>
                  </pic:nvPicPr>
                  <pic:blipFill>
                    <a:blip r:embed="rId20"/>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๗.๑ ภาพรวมงบประมาณและ BCR ๘-๑๒ เท่า</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ประมวลผลจาก สำนักงบประมาณ, รายงาน Asian Development Bank (๒๕๖๖), Stockholm Congestion Tax Review</w:t>
      </w:r>
    </w:p>
    <w:p>
      <w:pPr>
        <w:spacing w:before="240" w:after="120" w:line="240" w:lineRule="auto"/>
        <w:ind w:left="0"/>
        <w:jc w:val="left"/>
      </w:pPr>
      <w:r>
        <w:rPr>
          <w:rFonts w:ascii="TH Sarabun New" w:hAnsi="TH Sarabun New" w:cs="TH Sarabun New" w:eastAsia="TH Sarabun New"/>
          <w:b/>
          <w:i w:val="0"/>
          <w:sz w:val="36"/>
          <w:szCs w:val="36"/>
        </w:rPr>
        <w:t>๗.๑ ประมาณการงบประมาณ</w:t>
      </w:r>
    </w:p>
    <w:p>
      <w:pPr>
        <w:spacing w:line="240" w:lineRule="auto" w:after="0"/>
        <w:ind w:firstLine="720"/>
        <w:jc w:val="both"/>
      </w:pPr>
      <w:r>
        <w:rPr>
          <w:rFonts w:ascii="TH Sarabun New" w:hAnsi="TH Sarabun New" w:cs="TH Sarabun New" w:eastAsia="TH Sarabun New"/>
          <w:b w:val="0"/>
          <w:i w:val="0"/>
          <w:sz w:val="32"/>
          <w:szCs w:val="32"/>
        </w:rPr>
        <w:t>การประมาณการงบประมาณรวม ๑๐ ปี (พ.ศ. ๒๕๖๙-๒๕๗๘) แบ่งเป็น ๓ สถานการณ์ ตามตารางที่ ๗.๑</w:t>
      </w:r>
    </w:p>
    <w:p>
      <w:pPr>
        <w:spacing w:before="240" w:after="80"/>
        <w:jc w:val="center"/>
      </w:pPr>
      <w:r>
        <w:rPr>
          <w:rFonts w:ascii="TH Sarabun New" w:hAnsi="TH Sarabun New" w:cs="TH Sarabun New" w:eastAsia="TH Sarabun New"/>
          <w:b/>
          <w:i w:val="0"/>
          <w:sz w:val="32"/>
          <w:szCs w:val="32"/>
        </w:rPr>
        <w:t>ตารางที่ ๗.๑ สถานการณ์งบประมาณ ๓ กรณี</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2769"/>
        <w:gridCol w:w="2769"/>
        <w:gridCol w:w="2769"/>
      </w:tblGrid>
      <w:tr>
        <w:tc>
          <w:tcPr>
            <w:tcW w:type="dxa" w:w="2268"/>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สถานการณ์</w:t>
            </w:r>
          </w:p>
        </w:tc>
        <w:tc>
          <w:tcPr>
            <w:tcW w:type="dxa" w:w="2268"/>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งบประมาณ</w:t>
            </w:r>
          </w:p>
        </w:tc>
        <w:tc>
          <w:tcPr>
            <w:tcW w:type="dxa" w:w="3969"/>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รายละเอียด</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Conservative</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๕,๐๐๐ ล้านบาท</w:t>
            </w:r>
          </w:p>
        </w:tc>
        <w:tc>
          <w:tcPr>
            <w:tcW w:type="dxa" w:w="3969"/>
            <w:vAlign w:val="top"/>
          </w:tcPr>
          <w:p>
            <w:pPr>
              <w:spacing w:after="0" w:line="240" w:lineRule="auto"/>
              <w:jc w:val="left"/>
            </w:pPr>
            <w:r/>
            <w:r>
              <w:rPr>
                <w:rFonts w:ascii="TH Sarabun New" w:hAnsi="TH Sarabun New" w:cs="TH Sarabun New" w:eastAsia="TH Sarabun New"/>
                <w:b w:val="0"/>
                <w:i w:val="0"/>
                <w:sz w:val="30"/>
                <w:szCs w:val="30"/>
              </w:rPr>
              <w:t>๑๐ ปี · พึ่งงบราชการ</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ค่ากลาง</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๑๒,๐๐๐ ล้านบาท</w:t>
            </w:r>
          </w:p>
        </w:tc>
        <w:tc>
          <w:tcPr>
            <w:tcW w:type="dxa" w:w="3969"/>
            <w:vAlign w:val="top"/>
          </w:tcPr>
          <w:p>
            <w:pPr>
              <w:spacing w:after="0" w:line="240" w:lineRule="auto"/>
              <w:jc w:val="left"/>
            </w:pPr>
            <w:r/>
            <w:r>
              <w:rPr>
                <w:rFonts w:ascii="TH Sarabun New" w:hAnsi="TH Sarabun New" w:cs="TH Sarabun New" w:eastAsia="TH Sarabun New"/>
                <w:b w:val="0"/>
                <w:i w:val="0"/>
                <w:sz w:val="30"/>
                <w:szCs w:val="30"/>
              </w:rPr>
              <w:t>ผสม PPP + Trust Fund</w:t>
            </w:r>
          </w:p>
        </w:tc>
      </w:tr>
      <w:tr>
        <w:tc>
          <w:tcPr>
            <w:tcW w:type="dxa" w:w="2268"/>
            <w:vAlign w:val="top"/>
          </w:tcPr>
          <w:p>
            <w:pPr>
              <w:spacing w:after="0" w:line="240" w:lineRule="auto"/>
              <w:jc w:val="left"/>
            </w:pPr>
            <w:r/>
            <w:r>
              <w:rPr>
                <w:rFonts w:ascii="TH Sarabun New" w:hAnsi="TH Sarabun New" w:cs="TH Sarabun New" w:eastAsia="TH Sarabun New"/>
                <w:b w:val="0"/>
                <w:i w:val="0"/>
                <w:sz w:val="30"/>
                <w:szCs w:val="30"/>
              </w:rPr>
              <w:t>Aggressive</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๒๕,๐๐๐ ล้านบาท</w:t>
            </w:r>
          </w:p>
        </w:tc>
        <w:tc>
          <w:tcPr>
            <w:tcW w:type="dxa" w:w="3969"/>
            <w:vAlign w:val="top"/>
          </w:tcPr>
          <w:p>
            <w:pPr>
              <w:spacing w:after="0" w:line="240" w:lineRule="auto"/>
              <w:jc w:val="left"/>
            </w:pPr>
            <w:r/>
            <w:r>
              <w:rPr>
                <w:rFonts w:ascii="TH Sarabun New" w:hAnsi="TH Sarabun New" w:cs="TH Sarabun New" w:eastAsia="TH Sarabun New"/>
                <w:b w:val="0"/>
                <w:i w:val="0"/>
                <w:sz w:val="30"/>
                <w:szCs w:val="30"/>
              </w:rPr>
              <w:t>เต็มศักยภาพทั่วประเทศ</w:t>
            </w:r>
          </w:p>
        </w:tc>
      </w:tr>
    </w:tbl>
    <w:p>
      <w:pPr>
        <w:spacing w:after="160"/>
      </w:pPr>
    </w:p>
    <w:p>
      <w:pPr>
        <w:spacing w:before="160" w:after="80" w:line="240" w:lineRule="auto"/>
        <w:ind w:left="720"/>
        <w:jc w:val="left"/>
      </w:pPr>
      <w:r>
        <w:rPr>
          <w:rFonts w:ascii="TH Sarabun New" w:hAnsi="TH Sarabun New" w:cs="TH Sarabun New" w:eastAsia="TH Sarabun New"/>
          <w:b/>
          <w:i w:val="0"/>
          <w:sz w:val="32"/>
          <w:szCs w:val="32"/>
        </w:rPr>
        <w:t>๗.๑.๑ รายการงบประมาณระยะที่ ๑</w:t>
      </w:r>
    </w:p>
    <w:p>
      <w:pPr>
        <w:spacing w:before="240" w:after="80"/>
        <w:jc w:val="center"/>
      </w:pPr>
      <w:r>
        <w:rPr>
          <w:rFonts w:ascii="TH Sarabun New" w:hAnsi="TH Sarabun New" w:cs="TH Sarabun New" w:eastAsia="TH Sarabun New"/>
          <w:b/>
          <w:i w:val="0"/>
          <w:sz w:val="32"/>
          <w:szCs w:val="32"/>
        </w:rPr>
        <w:t>ตารางที่ ๗.๒ รายการงบประมาณระยะที่ ๑</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2769"/>
        <w:gridCol w:w="2769"/>
        <w:gridCol w:w="2769"/>
      </w:tblGrid>
      <w:tr>
        <w:tc>
          <w:tcPr>
            <w:tcW w:type="dxa" w:w="3402"/>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รายการ</w:t>
            </w:r>
          </w:p>
        </w:tc>
        <w:tc>
          <w:tcPr>
            <w:tcW w:type="dxa" w:w="2268"/>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งบประมาณ</w:t>
            </w:r>
          </w:p>
        </w:tc>
        <w:tc>
          <w:tcPr>
            <w:tcW w:type="dxa" w:w="2835"/>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หมายเหตุ</w:t>
            </w:r>
          </w:p>
        </w:tc>
      </w:tr>
      <w:tr>
        <w:tc>
          <w:tcPr>
            <w:tcW w:type="dxa" w:w="3402"/>
            <w:vAlign w:val="top"/>
          </w:tcPr>
          <w:p>
            <w:pPr>
              <w:spacing w:after="0" w:line="240" w:lineRule="auto"/>
              <w:jc w:val="left"/>
            </w:pPr>
            <w:r/>
            <w:r>
              <w:rPr>
                <w:rFonts w:ascii="TH Sarabun New" w:hAnsi="TH Sarabun New" w:cs="TH Sarabun New" w:eastAsia="TH Sarabun New"/>
                <w:b w:val="0"/>
                <w:i w:val="0"/>
                <w:sz w:val="30"/>
                <w:szCs w:val="30"/>
              </w:rPr>
              <w:t>กฎหมายลำดับรอง + Standards</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๒๐-๓๐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ที่ปรึกษากฎหมาย</w:t>
            </w:r>
          </w:p>
        </w:tc>
      </w:tr>
      <w:tr>
        <w:tc>
          <w:tcPr>
            <w:tcW w:type="dxa" w:w="3402"/>
            <w:vAlign w:val="top"/>
          </w:tcPr>
          <w:p>
            <w:pPr>
              <w:spacing w:after="0" w:line="240" w:lineRule="auto"/>
              <w:jc w:val="left"/>
            </w:pPr>
            <w:r/>
            <w:r>
              <w:rPr>
                <w:rFonts w:ascii="TH Sarabun New" w:hAnsi="TH Sarabun New" w:cs="TH Sarabun New" w:eastAsia="TH Sarabun New"/>
                <w:b w:val="0"/>
                <w:i w:val="0"/>
                <w:sz w:val="30"/>
                <w:szCs w:val="30"/>
              </w:rPr>
              <w:t>NTCH</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๒๐๐-๓๐๐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ระบบกลาง + บุคลากร</w:t>
            </w:r>
          </w:p>
        </w:tc>
      </w:tr>
      <w:tr>
        <w:tc>
          <w:tcPr>
            <w:tcW w:type="dxa" w:w="3402"/>
            <w:vAlign w:val="top"/>
          </w:tcPr>
          <w:p>
            <w:pPr>
              <w:spacing w:after="0" w:line="240" w:lineRule="auto"/>
              <w:jc w:val="left"/>
            </w:pPr>
            <w:r/>
            <w:r>
              <w:rPr>
                <w:rFonts w:ascii="TH Sarabun New" w:hAnsi="TH Sarabun New" w:cs="TH Sarabun New" w:eastAsia="TH Sarabun New"/>
                <w:b w:val="0"/>
                <w:i w:val="0"/>
                <w:sz w:val="30"/>
                <w:szCs w:val="30"/>
              </w:rPr>
              <w:t>MOT Data Catalog ๒.๐</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๕๐-๘๐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Open API</w:t>
            </w:r>
          </w:p>
        </w:tc>
      </w:tr>
      <w:tr>
        <w:tc>
          <w:tcPr>
            <w:tcW w:type="dxa" w:w="3402"/>
            <w:vAlign w:val="top"/>
          </w:tcPr>
          <w:p>
            <w:pPr>
              <w:spacing w:after="0" w:line="240" w:lineRule="auto"/>
              <w:jc w:val="left"/>
            </w:pPr>
            <w:r/>
            <w:r>
              <w:rPr>
                <w:rFonts w:ascii="TH Sarabun New" w:hAnsi="TH Sarabun New" w:cs="TH Sarabun New" w:eastAsia="TH Sarabun New"/>
                <w:b w:val="0"/>
                <w:i w:val="0"/>
                <w:sz w:val="30"/>
                <w:szCs w:val="30"/>
              </w:rPr>
              <w:t>BTS Green EMV migration</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๓๐๐-๕๐๐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Co-investment</w:t>
            </w:r>
          </w:p>
        </w:tc>
      </w:tr>
      <w:tr>
        <w:tc>
          <w:tcPr>
            <w:tcW w:type="dxa" w:w="3402"/>
            <w:vAlign w:val="top"/>
          </w:tcPr>
          <w:p>
            <w:pPr>
              <w:spacing w:after="0" w:line="240" w:lineRule="auto"/>
              <w:jc w:val="left"/>
            </w:pPr>
            <w:r/>
            <w:r>
              <w:rPr>
                <w:rFonts w:ascii="TH Sarabun New" w:hAnsi="TH Sarabun New" w:cs="TH Sarabun New" w:eastAsia="TH Sarabun New"/>
                <w:b w:val="0"/>
                <w:i w:val="0"/>
                <w:sz w:val="30"/>
                <w:szCs w:val="30"/>
              </w:rPr>
              <w:t>กองทุนตั๋วร่วม seed</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๒๐๐-๓๐๐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Hardware upgrade</w:t>
            </w:r>
          </w:p>
        </w:tc>
      </w:tr>
      <w:tr>
        <w:tc>
          <w:tcPr>
            <w:tcW w:type="dxa" w:w="3402"/>
            <w:vAlign w:val="top"/>
          </w:tcPr>
          <w:p>
            <w:pPr>
              <w:spacing w:after="0" w:line="240" w:lineRule="auto"/>
              <w:jc w:val="left"/>
            </w:pPr>
            <w:r/>
            <w:r>
              <w:rPr>
                <w:rFonts w:ascii="TH Sarabun New" w:hAnsi="TH Sarabun New" w:cs="TH Sarabun New" w:eastAsia="TH Sarabun New"/>
                <w:b w:val="0"/>
                <w:i w:val="0"/>
                <w:sz w:val="30"/>
                <w:szCs w:val="30"/>
              </w:rPr>
              <w:t>รวมระยะที่ ๑</w:t>
            </w:r>
          </w:p>
        </w:tc>
        <w:tc>
          <w:tcPr>
            <w:tcW w:type="dxa" w:w="2268"/>
            <w:vAlign w:val="top"/>
          </w:tcPr>
          <w:p>
            <w:pPr>
              <w:spacing w:after="0" w:line="240" w:lineRule="auto"/>
              <w:jc w:val="left"/>
            </w:pPr>
            <w:r/>
            <w:r>
              <w:rPr>
                <w:rFonts w:ascii="TH Sarabun New" w:hAnsi="TH Sarabun New" w:cs="TH Sarabun New" w:eastAsia="TH Sarabun New"/>
                <w:b w:val="0"/>
                <w:i w:val="0"/>
                <w:sz w:val="30"/>
                <w:szCs w:val="30"/>
              </w:rPr>
              <w:t>๘๐๐-๑,๒๐๐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๑๐% ของงบรวม</w:t>
            </w:r>
          </w:p>
        </w:tc>
      </w:tr>
    </w:tbl>
    <w:p>
      <w:pPr>
        <w:spacing w:after="160"/>
      </w:pPr>
    </w:p>
    <w:p>
      <w:pPr>
        <w:spacing w:before="160" w:after="80" w:line="240" w:lineRule="auto"/>
        <w:ind w:left="720"/>
        <w:jc w:val="left"/>
      </w:pPr>
      <w:r>
        <w:rPr>
          <w:rFonts w:ascii="TH Sarabun New" w:hAnsi="TH Sarabun New" w:cs="TH Sarabun New" w:eastAsia="TH Sarabun New"/>
          <w:b/>
          <w:i w:val="0"/>
          <w:sz w:val="32"/>
          <w:szCs w:val="32"/>
        </w:rPr>
        <w:t>๗.๑.๒ รายการงบประมาณระยะที่ ๒ (Pilot สมุทรปราการ)</w:t>
      </w:r>
    </w:p>
    <w:p>
      <w:pPr>
        <w:spacing w:before="240" w:after="80"/>
        <w:jc w:val="center"/>
      </w:pPr>
      <w:r>
        <w:rPr>
          <w:rFonts w:ascii="TH Sarabun New" w:hAnsi="TH Sarabun New" w:cs="TH Sarabun New" w:eastAsia="TH Sarabun New"/>
          <w:b/>
          <w:i w:val="0"/>
          <w:sz w:val="32"/>
          <w:szCs w:val="32"/>
        </w:rPr>
        <w:t>ตารางที่ ๗.๓ รายการงบประมาณระยะที่ ๒</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4153"/>
        <w:gridCol w:w="4153"/>
      </w:tblGrid>
      <w:tr>
        <w:tc>
          <w:tcPr>
            <w:tcW w:type="dxa" w:w="5102"/>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รายการ</w:t>
            </w:r>
          </w:p>
        </w:tc>
        <w:tc>
          <w:tcPr>
            <w:tcW w:type="dxa" w:w="3402"/>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งบประมาณ</w:t>
            </w:r>
          </w:p>
        </w:tc>
      </w:tr>
      <w:tr>
        <w:tc>
          <w:tcPr>
            <w:tcW w:type="dxa" w:w="5102"/>
            <w:vAlign w:val="top"/>
          </w:tcPr>
          <w:p>
            <w:pPr>
              <w:spacing w:after="0" w:line="240" w:lineRule="auto"/>
              <w:jc w:val="left"/>
            </w:pPr>
            <w:r/>
            <w:r>
              <w:rPr>
                <w:rFonts w:ascii="TH Sarabun New" w:hAnsi="TH Sarabun New" w:cs="TH Sarabun New" w:eastAsia="TH Sarabun New"/>
                <w:b w:val="0"/>
                <w:i w:val="0"/>
                <w:sz w:val="30"/>
                <w:szCs w:val="30"/>
              </w:rPr>
              <w:t>MOT Mobility App (๓ ปี)</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๓๐๐-๕๐๐ ล้านบาท</w:t>
            </w:r>
          </w:p>
        </w:tc>
      </w:tr>
      <w:tr>
        <w:tc>
          <w:tcPr>
            <w:tcW w:type="dxa" w:w="5102"/>
            <w:vAlign w:val="top"/>
          </w:tcPr>
          <w:p>
            <w:pPr>
              <w:spacing w:after="0" w:line="240" w:lineRule="auto"/>
              <w:jc w:val="left"/>
            </w:pPr>
            <w:r/>
            <w:r>
              <w:rPr>
                <w:rFonts w:ascii="TH Sarabun New" w:hAnsi="TH Sarabun New" w:cs="TH Sarabun New" w:eastAsia="TH Sarabun New"/>
                <w:b w:val="0"/>
                <w:i w:val="0"/>
                <w:sz w:val="30"/>
                <w:szCs w:val="30"/>
              </w:rPr>
              <w:t>Feeder Bus EV (๑๕๐ คัน)</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๙๐๐-๑,๒๐๐ ล้านบาท</w:t>
            </w:r>
          </w:p>
        </w:tc>
      </w:tr>
      <w:tr>
        <w:tc>
          <w:tcPr>
            <w:tcW w:type="dxa" w:w="5102"/>
            <w:vAlign w:val="top"/>
          </w:tcPr>
          <w:p>
            <w:pPr>
              <w:spacing w:after="0" w:line="240" w:lineRule="auto"/>
              <w:jc w:val="left"/>
            </w:pPr>
            <w:r/>
            <w:r>
              <w:rPr>
                <w:rFonts w:ascii="TH Sarabun New" w:hAnsi="TH Sarabun New" w:cs="TH Sarabun New" w:eastAsia="TH Sarabun New"/>
                <w:b w:val="0"/>
                <w:i w:val="0"/>
                <w:sz w:val="30"/>
                <w:szCs w:val="30"/>
              </w:rPr>
              <w:t>Complete Streets ๓ พื้นที่</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๕๐๐-๑,๒๐๐ ล้านบาท</w:t>
            </w:r>
          </w:p>
        </w:tc>
      </w:tr>
      <w:tr>
        <w:tc>
          <w:tcPr>
            <w:tcW w:type="dxa" w:w="5102"/>
            <w:vAlign w:val="top"/>
          </w:tcPr>
          <w:p>
            <w:pPr>
              <w:spacing w:after="0" w:line="240" w:lineRule="auto"/>
              <w:jc w:val="left"/>
            </w:pPr>
            <w:r/>
            <w:r>
              <w:rPr>
                <w:rFonts w:ascii="TH Sarabun New" w:hAnsi="TH Sarabun New" w:cs="TH Sarabun New" w:eastAsia="TH Sarabun New"/>
                <w:b w:val="0"/>
                <w:i w:val="0"/>
                <w:sz w:val="30"/>
                <w:szCs w:val="30"/>
              </w:rPr>
              <w:t>Park &amp; Ride ๓ สถานี</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๘๐๐-๑,๕๐๐ ล้านบาท</w:t>
            </w:r>
          </w:p>
        </w:tc>
      </w:tr>
      <w:tr>
        <w:tc>
          <w:tcPr>
            <w:tcW w:type="dxa" w:w="5102"/>
            <w:vAlign w:val="top"/>
          </w:tcPr>
          <w:p>
            <w:pPr>
              <w:spacing w:after="0" w:line="240" w:lineRule="auto"/>
              <w:jc w:val="left"/>
            </w:pPr>
            <w:r/>
            <w:r>
              <w:rPr>
                <w:rFonts w:ascii="TH Sarabun New" w:hAnsi="TH Sarabun New" w:cs="TH Sarabun New" w:eastAsia="TH Sarabun New"/>
                <w:b w:val="0"/>
                <w:i w:val="0"/>
                <w:sz w:val="30"/>
                <w:szCs w:val="30"/>
              </w:rPr>
              <w:t>Smart Win EV (๑,๐๐๐ คัน)</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๑๐๐-๑๕๐ ล้านบาท</w:t>
            </w:r>
          </w:p>
        </w:tc>
      </w:tr>
      <w:tr>
        <w:tc>
          <w:tcPr>
            <w:tcW w:type="dxa" w:w="5102"/>
            <w:vAlign w:val="top"/>
          </w:tcPr>
          <w:p>
            <w:pPr>
              <w:spacing w:after="0" w:line="240" w:lineRule="auto"/>
              <w:jc w:val="left"/>
            </w:pPr>
            <w:r/>
            <w:r>
              <w:rPr>
                <w:rFonts w:ascii="TH Sarabun New" w:hAnsi="TH Sarabun New" w:cs="TH Sarabun New" w:eastAsia="TH Sarabun New"/>
                <w:b w:val="0"/>
                <w:i w:val="0"/>
                <w:sz w:val="30"/>
                <w:szCs w:val="30"/>
              </w:rPr>
              <w:t>Commuter Tax Deduction (๓ ปี)</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๑,๐๐๐-๑,๕๐๐ ล้านบาท/ปี</w:t>
            </w:r>
          </w:p>
        </w:tc>
      </w:tr>
      <w:tr>
        <w:tc>
          <w:tcPr>
            <w:tcW w:type="dxa" w:w="5102"/>
            <w:vAlign w:val="top"/>
          </w:tcPr>
          <w:p>
            <w:pPr>
              <w:spacing w:after="0" w:line="240" w:lineRule="auto"/>
              <w:jc w:val="left"/>
            </w:pPr>
            <w:r/>
            <w:r>
              <w:rPr>
                <w:rFonts w:ascii="TH Sarabun New" w:hAnsi="TH Sarabun New" w:cs="TH Sarabun New" w:eastAsia="TH Sarabun New"/>
                <w:b w:val="0"/>
                <w:i w:val="0"/>
                <w:sz w:val="30"/>
                <w:szCs w:val="30"/>
              </w:rPr>
              <w:t>รวมระยะที่ ๒</w:t>
            </w:r>
          </w:p>
        </w:tc>
        <w:tc>
          <w:tcPr>
            <w:tcW w:type="dxa" w:w="3402"/>
            <w:vAlign w:val="top"/>
          </w:tcPr>
          <w:p>
            <w:pPr>
              <w:spacing w:after="0" w:line="240" w:lineRule="auto"/>
              <w:jc w:val="left"/>
            </w:pPr>
            <w:r/>
            <w:r>
              <w:rPr>
                <w:rFonts w:ascii="TH Sarabun New" w:hAnsi="TH Sarabun New" w:cs="TH Sarabun New" w:eastAsia="TH Sarabun New"/>
                <w:b w:val="0"/>
                <w:i w:val="0"/>
                <w:sz w:val="30"/>
                <w:szCs w:val="30"/>
              </w:rPr>
              <w:t>๔,๐๐๐-๖,๐๐๐ ล้านบาท</w:t>
            </w:r>
          </w:p>
        </w:tc>
      </w:tr>
    </w:tbl>
    <w:p>
      <w:pPr>
        <w:spacing w:after="160"/>
      </w:pPr>
    </w:p>
    <w:p>
      <w:pPr>
        <w:spacing w:before="240" w:after="120" w:line="240" w:lineRule="auto"/>
        <w:ind w:left="0"/>
        <w:jc w:val="left"/>
      </w:pPr>
      <w:r>
        <w:rPr>
          <w:rFonts w:ascii="TH Sarabun New" w:hAnsi="TH Sarabun New" w:cs="TH Sarabun New" w:eastAsia="TH Sarabun New"/>
          <w:b/>
          <w:i w:val="0"/>
          <w:sz w:val="36"/>
          <w:szCs w:val="36"/>
        </w:rPr>
        <w:t>๗.๒ ประมาณการรายได้ใหม่</w:t>
      </w:r>
    </w:p>
    <w:p>
      <w:pPr>
        <w:spacing w:before="240" w:after="80"/>
        <w:jc w:val="center"/>
      </w:pPr>
      <w:r>
        <w:rPr>
          <w:rFonts w:ascii="TH Sarabun New" w:hAnsi="TH Sarabun New" w:cs="TH Sarabun New" w:eastAsia="TH Sarabun New"/>
          <w:b/>
          <w:i w:val="0"/>
          <w:sz w:val="32"/>
          <w:szCs w:val="32"/>
        </w:rPr>
        <w:t>ตารางที่ ๗.๔ ประมาณการรายได้ใหม่</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2769"/>
        <w:gridCol w:w="2769"/>
        <w:gridCol w:w="2769"/>
      </w:tblGrid>
      <w:tr>
        <w:tc>
          <w:tcPr>
            <w:tcW w:type="dxa" w:w="2835"/>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แหล่ง</w:t>
            </w:r>
          </w:p>
        </w:tc>
        <w:tc>
          <w:tcPr>
            <w:tcW w:type="dxa" w:w="2835"/>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รายได้/ปี</w:t>
            </w:r>
          </w:p>
        </w:tc>
        <w:tc>
          <w:tcPr>
            <w:tcW w:type="dxa" w:w="2835"/>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โมเดลอ้างอิง</w:t>
            </w:r>
          </w:p>
        </w:tc>
      </w:tr>
      <w:tr>
        <w:tc>
          <w:tcPr>
            <w:tcW w:type="dxa" w:w="2835"/>
            <w:vAlign w:val="top"/>
          </w:tcPr>
          <w:p>
            <w:pPr>
              <w:spacing w:after="0" w:line="240" w:lineRule="auto"/>
              <w:jc w:val="left"/>
            </w:pPr>
            <w:r/>
            <w:r>
              <w:rPr>
                <w:rFonts w:ascii="TH Sarabun New" w:hAnsi="TH Sarabun New" w:cs="TH Sarabun New" w:eastAsia="TH Sarabun New"/>
                <w:b w:val="0"/>
                <w:i w:val="0"/>
                <w:sz w:val="30"/>
                <w:szCs w:val="30"/>
              </w:rPr>
              <w:t>ภาษีรถ Zone-based</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+๘,๐๐๐-๑๒,๐๐๐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Singapore COE</w:t>
            </w:r>
          </w:p>
        </w:tc>
      </w:tr>
      <w:tr>
        <w:tc>
          <w:tcPr>
            <w:tcW w:type="dxa" w:w="2835"/>
            <w:vAlign w:val="top"/>
          </w:tcPr>
          <w:p>
            <w:pPr>
              <w:spacing w:after="0" w:line="240" w:lineRule="auto"/>
              <w:jc w:val="left"/>
            </w:pPr>
            <w:r/>
            <w:r>
              <w:rPr>
                <w:rFonts w:ascii="TH Sarabun New" w:hAnsi="TH Sarabun New" w:cs="TH Sarabun New" w:eastAsia="TH Sarabun New"/>
                <w:b w:val="0"/>
                <w:i w:val="0"/>
                <w:sz w:val="30"/>
                <w:szCs w:val="30"/>
              </w:rPr>
              <w:t>Workplace Parking Levy</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+๓,๐๐๐-๕,๐๐๐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Nottingham UK</w:t>
            </w:r>
          </w:p>
        </w:tc>
      </w:tr>
      <w:tr>
        <w:tc>
          <w:tcPr>
            <w:tcW w:type="dxa" w:w="2835"/>
            <w:vAlign w:val="top"/>
          </w:tcPr>
          <w:p>
            <w:pPr>
              <w:spacing w:after="0" w:line="240" w:lineRule="auto"/>
              <w:jc w:val="left"/>
            </w:pPr>
            <w:r/>
            <w:r>
              <w:rPr>
                <w:rFonts w:ascii="TH Sarabun New" w:hAnsi="TH Sarabun New" w:cs="TH Sarabun New" w:eastAsia="TH Sarabun New"/>
                <w:b w:val="0"/>
                <w:i w:val="0"/>
                <w:sz w:val="30"/>
                <w:szCs w:val="30"/>
              </w:rPr>
              <w:t>ERP Pilot Bangkok CBD</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+๑๐,๐๐๐-๑๕,๐๐๐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Stockholm/London</w:t>
            </w:r>
          </w:p>
        </w:tc>
      </w:tr>
      <w:tr>
        <w:tc>
          <w:tcPr>
            <w:tcW w:type="dxa" w:w="2835"/>
            <w:vAlign w:val="top"/>
          </w:tcPr>
          <w:p>
            <w:pPr>
              <w:spacing w:after="0" w:line="240" w:lineRule="auto"/>
              <w:jc w:val="left"/>
            </w:pPr>
            <w:r/>
            <w:r>
              <w:rPr>
                <w:rFonts w:ascii="TH Sarabun New" w:hAnsi="TH Sarabun New" w:cs="TH Sarabun New" w:eastAsia="TH Sarabun New"/>
                <w:b w:val="0"/>
                <w:i w:val="0"/>
                <w:sz w:val="30"/>
                <w:szCs w:val="30"/>
              </w:rPr>
              <w:t>Versement Mobilité</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+๖,๐๐๐-๑๐,๐๐๐ ล้านบาท</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France ๒.๙๕% payroll</w:t>
            </w:r>
          </w:p>
        </w:tc>
      </w:tr>
      <w:tr>
        <w:tc>
          <w:tcPr>
            <w:tcW w:type="dxa" w:w="2835"/>
            <w:vAlign w:val="top"/>
          </w:tcPr>
          <w:p>
            <w:pPr>
              <w:spacing w:after="0" w:line="240" w:lineRule="auto"/>
              <w:jc w:val="left"/>
            </w:pPr>
            <w:r/>
            <w:r>
              <w:rPr>
                <w:rFonts w:ascii="TH Sarabun New" w:hAnsi="TH Sarabun New" w:cs="TH Sarabun New" w:eastAsia="TH Sarabun New"/>
                <w:b w:val="0"/>
                <w:i w:val="0"/>
                <w:sz w:val="30"/>
                <w:szCs w:val="30"/>
              </w:rPr>
              <w:t>รวม</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+๒๗,๐๐๐-๔๒,๐๐๐ ล้านบาท/ปี</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๒-๓ เท่าของงบโครงการ</w:t>
            </w:r>
          </w:p>
        </w:tc>
      </w:tr>
    </w:tbl>
    <w:p>
      <w:pPr>
        <w:spacing w:after="160"/>
      </w:pPr>
    </w:p>
    <w:p>
      <w:pPr>
        <w:spacing w:before="240" w:after="120" w:line="240" w:lineRule="auto"/>
        <w:ind w:left="0"/>
        <w:jc w:val="left"/>
      </w:pPr>
      <w:r>
        <w:rPr>
          <w:rFonts w:ascii="TH Sarabun New" w:hAnsi="TH Sarabun New" w:cs="TH Sarabun New" w:eastAsia="TH Sarabun New"/>
          <w:b/>
          <w:i w:val="0"/>
          <w:sz w:val="36"/>
          <w:szCs w:val="36"/>
        </w:rPr>
        <w:t>๗.๓ การวิเคราะห์ BCR และ Sensitivity</w:t>
      </w:r>
    </w:p>
    <w:p>
      <w:pPr>
        <w:spacing w:line="240" w:lineRule="auto" w:after="0"/>
        <w:ind w:firstLine="720"/>
        <w:jc w:val="both"/>
      </w:pPr>
      <w:r>
        <w:rPr>
          <w:rFonts w:ascii="TH Sarabun New" w:hAnsi="TH Sarabun New" w:cs="TH Sarabun New" w:eastAsia="TH Sarabun New"/>
          <w:b w:val="0"/>
          <w:i w:val="0"/>
          <w:sz w:val="32"/>
          <w:szCs w:val="32"/>
        </w:rPr>
        <w:t>อัตราส่วนผลตอบแทนต่อต้นทุน (Benefit-Cost Ratio) คำนวณจากรายได้ใหม่หารด้วยงบประมาณโครงการ ภายใต้สมมุติฐานที่กำหนด ได้ค่า BCR ในช่วง ๘-๑๒ เท่า</w:t>
      </w:r>
    </w:p>
    <w:p>
      <w:pPr>
        <w:spacing w:line="240" w:lineRule="auto" w:after="0"/>
        <w:ind w:firstLine="720"/>
        <w:jc w:val="both"/>
      </w:pPr>
      <w:r>
        <w:rPr>
          <w:rFonts w:ascii="TH Sarabun New" w:hAnsi="TH Sarabun New" w:cs="TH Sarabun New" w:eastAsia="TH Sarabun New"/>
          <w:b w:val="0"/>
          <w:i w:val="0"/>
          <w:sz w:val="32"/>
          <w:szCs w:val="32"/>
        </w:rPr>
        <w:t>งบประมาณ ๑๒,๐๐๐ ล้านบาท/๑๐ ปี = ๑,๒๐๐ ล้านบาท/ปี · รายได้คาดการณ์ ๒๗,๐๐๐-๔๒,๐๐๐ ล้านบาท/ปี · BCR = ๘-๑๒ เท่า · คืนทุนภายใน ๖ เดือนของปีแรก</w:t>
      </w:r>
    </w:p>
    <w:p>
      <w:pPr>
        <w:spacing w:before="160" w:after="80" w:line="240" w:lineRule="auto"/>
        <w:ind w:left="720"/>
        <w:jc w:val="left"/>
      </w:pPr>
      <w:r>
        <w:rPr>
          <w:rFonts w:ascii="TH Sarabun New" w:hAnsi="TH Sarabun New" w:cs="TH Sarabun New" w:eastAsia="TH Sarabun New"/>
          <w:b/>
          <w:i w:val="0"/>
          <w:sz w:val="32"/>
          <w:szCs w:val="32"/>
        </w:rPr>
        <w:t>๗.๓.๑ Sensitivity Analysis</w:t>
      </w:r>
    </w:p>
    <w:p>
      <w:pPr>
        <w:spacing w:line="240" w:lineRule="auto" w:after="0"/>
        <w:ind w:firstLine="720"/>
        <w:jc w:val="both"/>
      </w:pPr>
      <w:r>
        <w:rPr>
          <w:rFonts w:ascii="TH Sarabun New" w:hAnsi="TH Sarabun New" w:cs="TH Sarabun New" w:eastAsia="TH Sarabun New"/>
          <w:b w:val="0"/>
          <w:i w:val="0"/>
          <w:sz w:val="32"/>
          <w:szCs w:val="32"/>
        </w:rPr>
        <w:t>การวิเคราะห์ความไวต่อสมมุติฐานต่างๆ พบว่า ถ้า ERP Bangkok CBD ล่าช้าออกไป ๕ ปี BCR จะลดลงเหลือ ๕-๘ เท่า ในทางตรงข้าม ถ้าทุกองค์ประกอบดำเนินการได้ตามแผน BCR อาจสูงถึง ๑๒-๑๕ เท่า</w:t>
      </w:r>
    </w:p>
    <w:p>
      <w:pPr>
        <w:spacing w:line="240" w:lineRule="auto" w:after="0"/>
        <w:ind w:firstLine="720"/>
        <w:jc w:val="both"/>
      </w:pPr>
      <w:r>
        <w:rPr>
          <w:rFonts w:ascii="TH Sarabun New" w:hAnsi="TH Sarabun New" w:cs="TH Sarabun New" w:eastAsia="TH Sarabun New"/>
          <w:b w:val="0"/>
          <w:i w:val="0"/>
          <w:sz w:val="32"/>
          <w:szCs w:val="32"/>
        </w:rPr>
        <w:t>อนึ่ง ทั้งหมดเป็นประมาณการขั้นต้น ต้องผ่านขั้นกฎหมาย/สภา/ครม. การพลาด timeline ๑ ขั้น อาจทำให้ BCR ลดลง ๒-๓ หน่วย</w:t>
      </w:r>
    </w:p>
    <w:p>
      <w:r>
        <w:br w:type="page"/>
      </w:r>
    </w:p>
    <w:p>
      <w:pPr>
        <w:spacing w:before="0" w:after="0" w:line="240" w:lineRule="auto"/>
        <w:jc w:val="center"/>
      </w:pPr>
      <w:r>
        <w:rPr>
          <w:rFonts w:ascii="TH Sarabun New" w:hAnsi="TH Sarabun New" w:cs="TH Sarabun New" w:eastAsia="TH Sarabun New"/>
          <w:b/>
          <w:i w:val="0"/>
          <w:sz w:val="40"/>
          <w:szCs w:val="40"/>
        </w:rPr>
        <w:t>บทที่ ๘</w:t>
      </w:r>
    </w:p>
    <w:p>
      <w:pPr>
        <w:spacing w:before="0" w:after="360" w:line="240" w:lineRule="auto"/>
        <w:jc w:val="center"/>
      </w:pPr>
      <w:r>
        <w:rPr>
          <w:rFonts w:ascii="TH Sarabun New" w:hAnsi="TH Sarabun New" w:cs="TH Sarabun New" w:eastAsia="TH Sarabun New"/>
          <w:b/>
          <w:i w:val="0"/>
          <w:sz w:val="40"/>
          <w:szCs w:val="40"/>
        </w:rPr>
        <w:t>ตัวชี้วัดความสำเร็จ</w:t>
      </w:r>
    </w:p>
    <w:p>
      <w:pPr>
        <w:spacing w:before="240" w:after="80" w:line="240" w:lineRule="auto"/>
        <w:jc w:val="center"/>
      </w:pPr>
      <w:r>
        <w:drawing>
          <wp:inline xmlns:a="http://schemas.openxmlformats.org/drawingml/2006/main" xmlns:pic="http://schemas.openxmlformats.org/drawingml/2006/picture">
            <wp:extent cx="5040000" cy="2835000"/>
            <wp:docPr id="10" name="Picture 10"/>
            <wp:cNvGraphicFramePr>
              <a:graphicFrameLocks noChangeAspect="1"/>
            </wp:cNvGraphicFramePr>
            <a:graphic>
              <a:graphicData uri="http://schemas.openxmlformats.org/drawingml/2006/picture">
                <pic:pic>
                  <pic:nvPicPr>
                    <pic:cNvPr id="0" name="slide-11.png"/>
                    <pic:cNvPicPr/>
                  </pic:nvPicPr>
                  <pic:blipFill>
                    <a:blip r:embed="rId21"/>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๘.๑ ตัวชี้วัด ๖ ค่าหลัก · เป้าหมายปี พ.ศ. ๒๕๗๖</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ประมวลผลจาก ยุทธศาสตร์ชาติ ๒๐ ปี (สศช., ๒๕๖๑), COP26 Net-Zero ๒๐๖๕, NYC DOT (2013), Barcelona Superblock Study</w:t>
      </w:r>
    </w:p>
    <w:p>
      <w:pPr>
        <w:spacing w:line="240" w:lineRule="auto" w:after="0"/>
        <w:ind w:firstLine="720"/>
        <w:jc w:val="both"/>
      </w:pPr>
      <w:r>
        <w:rPr>
          <w:rFonts w:ascii="TH Sarabun New" w:hAnsi="TH Sarabun New" w:cs="TH Sarabun New" w:eastAsia="TH Sarabun New"/>
          <w:b w:val="0"/>
          <w:i w:val="0"/>
          <w:sz w:val="32"/>
          <w:szCs w:val="32"/>
        </w:rPr>
        <w:t>ตัวชี้วัดความสำเร็จของโครงการครอบคลุม ๔ มิติ ได้แก่ Modal Shift, ผลกระทบต่อสิ่งแวดล้อม, ประสบการณ์ผู้ใช้ และคุณภาพโครงสร้างพื้นฐาน สรุปได้ดังตารางที่ ๘.๑</w:t>
      </w:r>
    </w:p>
    <w:p>
      <w:pPr>
        <w:spacing w:before="240" w:after="80"/>
        <w:jc w:val="center"/>
      </w:pPr>
      <w:r>
        <w:rPr>
          <w:rFonts w:ascii="TH Sarabun New" w:hAnsi="TH Sarabun New" w:cs="TH Sarabun New" w:eastAsia="TH Sarabun New"/>
          <w:b/>
          <w:i w:val="0"/>
          <w:sz w:val="32"/>
          <w:szCs w:val="32"/>
        </w:rPr>
        <w:t>ตารางที่ ๘.๑ ตัวชี้วัด ๙ ค่าหลัก เป้าหมายปี พ.ศ. ๒๕๗๖</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2076"/>
        <w:gridCol w:w="2076"/>
        <w:gridCol w:w="2076"/>
        <w:gridCol w:w="2076"/>
      </w:tblGrid>
      <w:tr>
        <w:tc>
          <w:tcPr>
            <w:tcW w:type="dxa" w:w="1701"/>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มิติ</w:t>
            </w:r>
          </w:p>
        </w:tc>
        <w:tc>
          <w:tcPr>
            <w:tcW w:type="dxa" w:w="2835"/>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ตัวชี้วัด</w:t>
            </w:r>
          </w:p>
        </w:tc>
        <w:tc>
          <w:tcPr>
            <w:tcW w:type="dxa" w:w="1417"/>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เป้าหมาย</w:t>
            </w:r>
          </w:p>
        </w:tc>
        <w:tc>
          <w:tcPr>
            <w:tcW w:type="dxa" w:w="2551"/>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อ้างอิง</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Modal Shift</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สัดส่วน Public Transport กทม.+ปริมณฑล</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↑๒๐%</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ยุทธศาสตร์ชาติ ≥๑๐%</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สิ่งแวดล้อม</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การปล่อย CO₂ ภาคขนส่งเมือง</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↓๓๐%</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COP26 Net-Zero ๒๐๖๕</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Modal Shift</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เวลาเดินทางเฉลี่ยใน CBD</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↓๒๕%</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Buenos Aires Metrobus</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UX</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NPS ผู้ใช้ Public Transport</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↑๔๐%</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MaaS App + Traffy Fondue</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ตั๋วร่วม</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trips ผ่าน EMV/ABT</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≥๘๐%</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TfL contactless ๘๐%</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First/Last Mile</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เวลาบ้าน → สถานี</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≤๑๐ นาที</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Smart Win + Feeder + P&amp;R</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ความปลอดภัย</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อุบัติเหตุใน Complete Streets</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↓๔๐%</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NYC Times Square -๔๐%</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โครงสร้าง</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Pedestrian Level of Service</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A-C</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HCM 2010</w:t>
            </w:r>
          </w:p>
        </w:tc>
      </w:tr>
      <w:tr>
        <w:tc>
          <w:tcPr>
            <w:tcW w:type="dxa" w:w="1701"/>
            <w:vAlign w:val="top"/>
          </w:tcPr>
          <w:p>
            <w:pPr>
              <w:spacing w:after="0" w:line="240" w:lineRule="auto"/>
              <w:jc w:val="left"/>
            </w:pPr>
            <w:r/>
            <w:r>
              <w:rPr>
                <w:rFonts w:ascii="TH Sarabun New" w:hAnsi="TH Sarabun New" w:cs="TH Sarabun New" w:eastAsia="TH Sarabun New"/>
                <w:b w:val="0"/>
                <w:i w:val="0"/>
                <w:sz w:val="30"/>
                <w:szCs w:val="30"/>
              </w:rPr>
              <w:t>สิ่งแวดล้อม</w:t>
            </w:r>
          </w:p>
        </w:tc>
        <w:tc>
          <w:tcPr>
            <w:tcW w:type="dxa" w:w="2835"/>
            <w:vAlign w:val="top"/>
          </w:tcPr>
          <w:p>
            <w:pPr>
              <w:spacing w:after="0" w:line="240" w:lineRule="auto"/>
              <w:jc w:val="left"/>
            </w:pPr>
            <w:r/>
            <w:r>
              <w:rPr>
                <w:rFonts w:ascii="TH Sarabun New" w:hAnsi="TH Sarabun New" w:cs="TH Sarabun New" w:eastAsia="TH Sarabun New"/>
                <w:b w:val="0"/>
                <w:i w:val="0"/>
                <w:sz w:val="30"/>
                <w:szCs w:val="30"/>
              </w:rPr>
              <w:t>NO₂ ในเขต Superblock</w:t>
            </w:r>
          </w:p>
        </w:tc>
        <w:tc>
          <w:tcPr>
            <w:tcW w:type="dxa" w:w="1417"/>
            <w:vAlign w:val="top"/>
          </w:tcPr>
          <w:p>
            <w:pPr>
              <w:spacing w:after="0" w:line="240" w:lineRule="auto"/>
              <w:jc w:val="left"/>
            </w:pPr>
            <w:r/>
            <w:r>
              <w:rPr>
                <w:rFonts w:ascii="TH Sarabun New" w:hAnsi="TH Sarabun New" w:cs="TH Sarabun New" w:eastAsia="TH Sarabun New"/>
                <w:b w:val="0"/>
                <w:i w:val="0"/>
                <w:sz w:val="30"/>
                <w:szCs w:val="30"/>
              </w:rPr>
              <w:t>↓๒๕%</w:t>
            </w:r>
          </w:p>
        </w:tc>
        <w:tc>
          <w:tcPr>
            <w:tcW w:type="dxa" w:w="2551"/>
            <w:vAlign w:val="top"/>
          </w:tcPr>
          <w:p>
            <w:pPr>
              <w:spacing w:after="0" w:line="240" w:lineRule="auto"/>
              <w:jc w:val="left"/>
            </w:pPr>
            <w:r/>
            <w:r>
              <w:rPr>
                <w:rFonts w:ascii="TH Sarabun New" w:hAnsi="TH Sarabun New" w:cs="TH Sarabun New" w:eastAsia="TH Sarabun New"/>
                <w:b w:val="0"/>
                <w:i w:val="0"/>
                <w:sz w:val="30"/>
                <w:szCs w:val="30"/>
              </w:rPr>
              <w:t>Barcelona Superblock</w:t>
            </w:r>
          </w:p>
        </w:tc>
      </w:tr>
    </w:tbl>
    <w:p>
      <w:pPr>
        <w:spacing w:after="160"/>
      </w:pPr>
    </w:p>
    <w:p>
      <w:pPr>
        <w:spacing w:line="240" w:lineRule="auto" w:after="0"/>
        <w:ind w:firstLine="720"/>
        <w:jc w:val="both"/>
      </w:pPr>
      <w:r>
        <w:rPr>
          <w:rFonts w:ascii="TH Sarabun New" w:hAnsi="TH Sarabun New" w:cs="TH Sarabun New" w:eastAsia="TH Sarabun New"/>
          <w:b w:val="0"/>
          <w:i w:val="0"/>
          <w:sz w:val="32"/>
          <w:szCs w:val="32"/>
        </w:rPr>
        <w:t>การติดตามและประเมินผลควรใช้แนวทาง "Before-After Study" โดยวัดค่าตัวชี้วัดก่อนเริ่มโครงการในจังหวัดสมุทรปราการ และวัดผลทุก ๖ เดือนตลอดระยะเวลา ๓ ปี ของการ Pilot ผลลัพธ์ที่ได้จะใช้ปรับปรุงแผนการดำเนินงานก่อนขยายผลทั่วประเทศ</w:t>
      </w:r>
    </w:p>
    <w:p>
      <w:r>
        <w:br w:type="page"/>
      </w:r>
    </w:p>
    <w:p>
      <w:pPr>
        <w:spacing w:before="0" w:after="0" w:line="240" w:lineRule="auto"/>
        <w:jc w:val="center"/>
      </w:pPr>
      <w:r>
        <w:rPr>
          <w:rFonts w:ascii="TH Sarabun New" w:hAnsi="TH Sarabun New" w:cs="TH Sarabun New" w:eastAsia="TH Sarabun New"/>
          <w:b/>
          <w:i w:val="0"/>
          <w:sz w:val="40"/>
          <w:szCs w:val="40"/>
        </w:rPr>
        <w:t>บทที่ ๙</w:t>
      </w:r>
    </w:p>
    <w:p>
      <w:pPr>
        <w:spacing w:before="0" w:after="360" w:line="240" w:lineRule="auto"/>
        <w:jc w:val="center"/>
      </w:pPr>
      <w:r>
        <w:rPr>
          <w:rFonts w:ascii="TH Sarabun New" w:hAnsi="TH Sarabun New" w:cs="TH Sarabun New" w:eastAsia="TH Sarabun New"/>
          <w:b/>
          <w:i w:val="0"/>
          <w:sz w:val="40"/>
          <w:szCs w:val="40"/>
        </w:rPr>
        <w:t>ความเสี่ยงและการบริหารจัดการความเปลี่ยนแปลง</w:t>
      </w:r>
    </w:p>
    <w:p>
      <w:pPr>
        <w:spacing w:before="240" w:after="80" w:line="240" w:lineRule="auto"/>
        <w:jc w:val="center"/>
      </w:pPr>
      <w:r>
        <w:drawing>
          <wp:inline xmlns:a="http://schemas.openxmlformats.org/drawingml/2006/main" xmlns:pic="http://schemas.openxmlformats.org/drawingml/2006/picture">
            <wp:extent cx="5040000" cy="2835000"/>
            <wp:docPr id="11" name="Picture 11"/>
            <wp:cNvGraphicFramePr>
              <a:graphicFrameLocks noChangeAspect="1"/>
            </wp:cNvGraphicFramePr>
            <a:graphic>
              <a:graphicData uri="http://schemas.openxmlformats.org/drawingml/2006/picture">
                <pic:pic>
                  <pic:nvPicPr>
                    <pic:cNvPr id="0" name="slide-12.png"/>
                    <pic:cNvPicPr/>
                  </pic:nvPicPr>
                  <pic:blipFill>
                    <a:blip r:embed="rId22"/>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๙.๑ ความเสี่ยง ๕ ข้อหลัก และยุทธศาสตร์ Public-Led + Phased + Coexist</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 ประมวลผลจากกรณีศึกษา Whim Helsinki (2024), SimplyGo Singapore Backlash (มกราคม ๒๕๖๗)</w:t>
      </w:r>
    </w:p>
    <w:p>
      <w:pPr>
        <w:spacing w:before="240" w:after="120" w:line="240" w:lineRule="auto"/>
        <w:ind w:left="0"/>
        <w:jc w:val="left"/>
      </w:pPr>
      <w:r>
        <w:rPr>
          <w:rFonts w:ascii="TH Sarabun New" w:hAnsi="TH Sarabun New" w:cs="TH Sarabun New" w:eastAsia="TH Sarabun New"/>
          <w:b/>
          <w:i w:val="0"/>
          <w:sz w:val="36"/>
          <w:szCs w:val="36"/>
        </w:rPr>
        <w:t>๙.๑ การวิเคราะห์ความเสี่ยง</w:t>
      </w:r>
    </w:p>
    <w:p>
      <w:pPr>
        <w:spacing w:line="240" w:lineRule="auto" w:after="0"/>
        <w:ind w:firstLine="720"/>
        <w:jc w:val="both"/>
      </w:pPr>
      <w:r>
        <w:rPr>
          <w:rFonts w:ascii="TH Sarabun New" w:hAnsi="TH Sarabun New" w:cs="TH Sarabun New" w:eastAsia="TH Sarabun New"/>
          <w:b w:val="0"/>
          <w:i w:val="0"/>
          <w:sz w:val="32"/>
          <w:szCs w:val="32"/>
        </w:rPr>
        <w:t>การวิเคราะห์ความเสี่ยง ๑๐ ประการที่สำคัญ ครอบคลุมทั้งความเสี่ยงเชิงนโยบาย เชิงเทคนิค และเชิงพฤติกรรม ดังตารางที่ ๙.๑</w:t>
      </w:r>
    </w:p>
    <w:p>
      <w:pPr>
        <w:spacing w:before="240" w:after="80"/>
        <w:jc w:val="center"/>
      </w:pPr>
      <w:r>
        <w:rPr>
          <w:rFonts w:ascii="TH Sarabun New" w:hAnsi="TH Sarabun New" w:cs="TH Sarabun New" w:eastAsia="TH Sarabun New"/>
          <w:b/>
          <w:i w:val="0"/>
          <w:sz w:val="32"/>
          <w:szCs w:val="32"/>
        </w:rPr>
        <w:t>ตารางที่ ๙.๑ ความเสี่ยง ๑๐ ประการ</w:t>
      </w:r>
    </w:p>
    <w:tbl>
      <w:tblPr>
        <w:tblW w:type="auto" w:w="0"/>
        <w:jc w:val="center"/>
        <w:tblLayout w:type="fixed"/>
        <w:tblLook w:firstColumn="1" w:firstRow="1" w:lastColumn="0" w:lastRow="0" w:noHBand="0" w:noVBand="1" w:val="04A0"/>
        <w:tblBorders>
          <w:top w:val="single" w:sz="6" w:color="000000"/>
          <w:left w:val="single" w:sz="6" w:color="000000"/>
          <w:bottom w:val="single" w:sz="6" w:color="000000"/>
          <w:right w:val="single" w:sz="6" w:color="000000"/>
          <w:insideH w:val="single" w:sz="6" w:color="000000"/>
          <w:insideV w:val="single" w:sz="6" w:color="000000"/>
        </w:tblBorders>
      </w:tblPr>
      <w:tblGrid>
        <w:gridCol w:w="2076"/>
        <w:gridCol w:w="2076"/>
        <w:gridCol w:w="2076"/>
        <w:gridCol w:w="2076"/>
      </w:tblGrid>
      <w:tr>
        <w:tc>
          <w:tcPr>
            <w:tcW w:type="dxa" w:w="1984"/>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ความเสี่ยง</w:t>
            </w:r>
          </w:p>
        </w:tc>
        <w:tc>
          <w:tcPr>
            <w:tcW w:type="dxa" w:w="1020"/>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โอกาส</w:t>
            </w:r>
          </w:p>
        </w:tc>
        <w:tc>
          <w:tcPr>
            <w:tcW w:type="dxa" w:w="1020"/>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ผลกระทบ</w:t>
            </w:r>
          </w:p>
        </w:tc>
        <w:tc>
          <w:tcPr>
            <w:tcW w:type="dxa" w:w="4479"/>
            <w:vAlign w:val="center"/>
            <w:shd w:val="clear" w:color="auto" w:fill="1F4E79"/>
          </w:tcPr>
          <w:p>
            <w:pPr>
              <w:spacing w:after="0" w:line="240" w:lineRule="auto"/>
              <w:jc w:val="center"/>
            </w:pPr>
            <w:r/>
            <w:r>
              <w:rPr>
                <w:rFonts w:ascii="TH Sarabun New" w:hAnsi="TH Sarabun New" w:cs="TH Sarabun New" w:eastAsia="TH Sarabun New"/>
                <w:b/>
                <w:i w:val="0"/>
                <w:color w:val="FFFFFF"/>
                <w:sz w:val="32"/>
                <w:szCs w:val="32"/>
              </w:rPr>
              <w:t>แผนรับมือ</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BTS turf war</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ผูก concession ๒๕๗๒ + บังคับ พ.ร.บ. ตั๋วร่วม</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MaaS App ล้ม (Whim)</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Public-led · pay-as-you-go</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SimplyGo Backlash</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กลาง</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Coexist Rabbit/MRT Plus/EMV 5 ปี</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Vendor lock-in</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กลาง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Multi-vendor · Open Standards</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Tax reform political</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Quick Win ก่อน</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PDPA + Cybersecurity</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กลาง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Privacy by Design · ISO 27001</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เปลี่ยน รมต./รัฐบาล</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วิกฤต</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บรรจุในกฎหมาย · Quick Win ๑ ปี</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Bike lane chaos</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กลาง</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Public hearing · NACTO · Phased</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Cybersecurity</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กลาง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วิกฤต</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ISO 27001 · Pentest ทุก ๖ เดือน</w:t>
            </w:r>
          </w:p>
        </w:tc>
      </w:tr>
      <w:tr>
        <w:tc>
          <w:tcPr>
            <w:tcW w:type="dxa" w:w="1984"/>
            <w:vAlign w:val="top"/>
          </w:tcPr>
          <w:p>
            <w:pPr>
              <w:spacing w:after="0" w:line="240" w:lineRule="auto"/>
              <w:jc w:val="left"/>
            </w:pPr>
            <w:r/>
            <w:r>
              <w:rPr>
                <w:rFonts w:ascii="TH Sarabun New" w:hAnsi="TH Sarabun New" w:cs="TH Sarabun New" w:eastAsia="TH Sarabun New"/>
                <w:b w:val="0"/>
                <w:i w:val="0"/>
                <w:sz w:val="30"/>
                <w:szCs w:val="30"/>
              </w:rPr>
              <w:t>Change resistance</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สูง</w:t>
            </w:r>
          </w:p>
        </w:tc>
        <w:tc>
          <w:tcPr>
            <w:tcW w:type="dxa" w:w="1020"/>
            <w:vAlign w:val="top"/>
          </w:tcPr>
          <w:p>
            <w:pPr>
              <w:spacing w:after="0" w:line="240" w:lineRule="auto"/>
              <w:jc w:val="left"/>
            </w:pPr>
            <w:r/>
            <w:r>
              <w:rPr>
                <w:rFonts w:ascii="TH Sarabun New" w:hAnsi="TH Sarabun New" w:cs="TH Sarabun New" w:eastAsia="TH Sarabun New"/>
                <w:b w:val="0"/>
                <w:i w:val="0"/>
                <w:sz w:val="30"/>
                <w:szCs w:val="30"/>
              </w:rPr>
              <w:t>กลาง</w:t>
            </w:r>
          </w:p>
        </w:tc>
        <w:tc>
          <w:tcPr>
            <w:tcW w:type="dxa" w:w="4479"/>
            <w:vAlign w:val="top"/>
          </w:tcPr>
          <w:p>
            <w:pPr>
              <w:spacing w:after="0" w:line="240" w:lineRule="auto"/>
              <w:jc w:val="left"/>
            </w:pPr>
            <w:r/>
            <w:r>
              <w:rPr>
                <w:rFonts w:ascii="TH Sarabun New" w:hAnsi="TH Sarabun New" w:cs="TH Sarabun New" w:eastAsia="TH Sarabun New"/>
                <w:b w:val="0"/>
                <w:i w:val="0"/>
                <w:sz w:val="30"/>
                <w:szCs w:val="30"/>
              </w:rPr>
              <w:t>Show, don't tell · Pilot สมุทรปราการ</w:t>
            </w:r>
          </w:p>
        </w:tc>
      </w:tr>
    </w:tbl>
    <w:p>
      <w:pPr>
        <w:spacing w:after="160"/>
      </w:pPr>
    </w:p>
    <w:p>
      <w:pPr>
        <w:spacing w:before="240" w:after="120" w:line="240" w:lineRule="auto"/>
        <w:ind w:left="0"/>
        <w:jc w:val="left"/>
      </w:pPr>
      <w:r>
        <w:rPr>
          <w:rFonts w:ascii="TH Sarabun New" w:hAnsi="TH Sarabun New" w:cs="TH Sarabun New" w:eastAsia="TH Sarabun New"/>
          <w:b/>
          <w:i w:val="0"/>
          <w:sz w:val="36"/>
          <w:szCs w:val="36"/>
        </w:rPr>
        <w:t>๙.๒ ยุทธศาสตร์ "Public-Led + Phased + Coexist"</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Public-Led: NTCH เป็นกลาง · หลีกเลี่ยงผลประโยชน์ทับซ้อน · ไม่ซ้ำรอย Whim</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Phased: เริ่มที่จังหวัดสมุทรปราการ · ขยายผลเมื่อพิสูจน์ความสำเร็จ</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Coexist: รักษาบัตรเดิม (Rabbit, MRT Plus) คู่กับระบบใหม่</w:t>
      </w:r>
    </w:p>
    <w:p>
      <w:pPr>
        <w:spacing w:line="240" w:lineRule="auto" w:after="80"/>
        <w:ind w:left="1134" w:hanging="425"/>
      </w:pPr>
      <w:r>
        <w:rPr>
          <w:rFonts w:ascii="TH Sarabun New" w:hAnsi="TH Sarabun New" w:cs="TH Sarabun New" w:eastAsia="TH Sarabun New"/>
          <w:b/>
          <w:i w:val="0"/>
          <w:sz w:val="32"/>
          <w:szCs w:val="32"/>
        </w:rPr>
        <w:t xml:space="preserve">๔.  </w:t>
      </w:r>
      <w:r>
        <w:rPr>
          <w:rFonts w:ascii="TH Sarabun New" w:hAnsi="TH Sarabun New" w:cs="TH Sarabun New" w:eastAsia="TH Sarabun New"/>
          <w:b w:val="0"/>
          <w:i w:val="0"/>
          <w:sz w:val="32"/>
          <w:szCs w:val="32"/>
        </w:rPr>
        <w:t>Quick Win: ออกกฎหมายลำดับรองภายใน ๑ ปี · เริ่ม Commuter Tax ปี ๒๕๗๐</w:t>
      </w:r>
    </w:p>
    <w:p>
      <w:pPr>
        <w:spacing w:line="240" w:lineRule="auto" w:after="80"/>
        <w:ind w:left="1134" w:hanging="425"/>
      </w:pPr>
      <w:r>
        <w:rPr>
          <w:rFonts w:ascii="TH Sarabun New" w:hAnsi="TH Sarabun New" w:cs="TH Sarabun New" w:eastAsia="TH Sarabun New"/>
          <w:b/>
          <w:i w:val="0"/>
          <w:sz w:val="32"/>
          <w:szCs w:val="32"/>
        </w:rPr>
        <w:t xml:space="preserve">๕.  </w:t>
      </w:r>
      <w:r>
        <w:rPr>
          <w:rFonts w:ascii="TH Sarabun New" w:hAnsi="TH Sarabun New" w:cs="TH Sarabun New" w:eastAsia="TH Sarabun New"/>
          <w:b w:val="0"/>
          <w:i w:val="0"/>
          <w:sz w:val="32"/>
          <w:szCs w:val="32"/>
        </w:rPr>
        <w:t>Show ROI: ใช้ Before-After Study ที่สมุทรปราการเพื่อพิสูจน์ผลลัพธ์</w:t>
      </w:r>
    </w:p>
    <w:p>
      <w:r>
        <w:br w:type="page"/>
      </w:r>
    </w:p>
    <w:p>
      <w:pPr>
        <w:spacing w:before="0" w:after="0" w:line="240" w:lineRule="auto"/>
        <w:jc w:val="center"/>
      </w:pPr>
      <w:r>
        <w:rPr>
          <w:rFonts w:ascii="TH Sarabun New" w:hAnsi="TH Sarabun New" w:cs="TH Sarabun New" w:eastAsia="TH Sarabun New"/>
          <w:b/>
          <w:i w:val="0"/>
          <w:sz w:val="40"/>
          <w:szCs w:val="40"/>
        </w:rPr>
        <w:t>บทที่ ๑๐</w:t>
      </w:r>
    </w:p>
    <w:p>
      <w:pPr>
        <w:spacing w:before="0" w:after="360" w:line="240" w:lineRule="auto"/>
        <w:jc w:val="center"/>
      </w:pPr>
      <w:r>
        <w:rPr>
          <w:rFonts w:ascii="TH Sarabun New" w:hAnsi="TH Sarabun New" w:cs="TH Sarabun New" w:eastAsia="TH Sarabun New"/>
          <w:b/>
          <w:i w:val="0"/>
          <w:sz w:val="40"/>
          <w:szCs w:val="40"/>
        </w:rPr>
        <w:t>สรุปและข้อเสนอแนะ</w:t>
      </w:r>
    </w:p>
    <w:p>
      <w:pPr>
        <w:spacing w:before="240" w:after="120" w:line="240" w:lineRule="auto"/>
        <w:ind w:left="0"/>
        <w:jc w:val="left"/>
      </w:pPr>
      <w:r>
        <w:rPr>
          <w:rFonts w:ascii="TH Sarabun New" w:hAnsi="TH Sarabun New" w:cs="TH Sarabun New" w:eastAsia="TH Sarabun New"/>
          <w:b/>
          <w:i w:val="0"/>
          <w:sz w:val="36"/>
          <w:szCs w:val="36"/>
        </w:rPr>
        <w:t>๑๐.๑ สรุปการศึกษา</w:t>
      </w:r>
    </w:p>
    <w:p>
      <w:pPr>
        <w:spacing w:line="240" w:lineRule="auto" w:after="0"/>
        <w:ind w:firstLine="720"/>
        <w:jc w:val="both"/>
      </w:pPr>
      <w:r>
        <w:rPr>
          <w:rFonts w:ascii="TH Sarabun New" w:hAnsi="TH Sarabun New" w:cs="TH Sarabun New" w:eastAsia="TH Sarabun New"/>
          <w:b w:val="0"/>
          <w:i w:val="0"/>
          <w:sz w:val="32"/>
          <w:szCs w:val="32"/>
        </w:rPr>
        <w:t>การศึกษานี้นำเสนอกรอบแนวคิด "MOT Mobility · บูรณาการคมนาคมเพื่อเมืองยุคใหม่" ผ่านการดำเนินงาน ๔ เสาหลัก (ตั๋วร่วม · MaaS App · Complete Streets · มาตรการภาษี) ไปพร้อมกัน โดยใช้จังหวัดสมุทรปราการเป็นพื้นที่นำร่องระยะ ๓ ปี (พ.ศ. ๒๕๗๐-๒๕๗๒) งบประมาณรวม ๑๒,๐๐๐ ล้านบาท/๑๐ ปี คิดเป็นเพียงร้อยละ ๐.๕ ของงบประมาณกระทรวงคมนาคม แต่สามารถสร้างรายได้ใหม่ ๒๗,๐๐๐-๔๒,๐๐๐ ล้านบาท/ปี ผ่านมาตรการภาษีและค่าธรรมเนียม ส่งผลให้ Benefit-Cost Ratio อยู่ในระดับ ๘-๑๒ เท่า</w:t>
      </w:r>
    </w:p>
    <w:p>
      <w:pPr>
        <w:spacing w:line="240" w:lineRule="auto" w:after="0"/>
        <w:ind w:firstLine="720"/>
        <w:jc w:val="both"/>
      </w:pPr>
      <w:r>
        <w:rPr>
          <w:rFonts w:ascii="TH Sarabun New" w:hAnsi="TH Sarabun New" w:cs="TH Sarabun New" w:eastAsia="TH Sarabun New"/>
          <w:b w:val="0"/>
          <w:i w:val="0"/>
          <w:sz w:val="32"/>
          <w:szCs w:val="32"/>
        </w:rPr>
        <w:t>ปัจจัยความสำเร็จที่สำคัญที่สุดคือ "เจตจำนงทางการเมือง" และการ "ทำพร้อมกันทั้ง ๔ เสา" เนื่องจากบทเรียนจากกรณี Whim Helsinki ที่ล้มเหลวในปี พ.ศ. ๒๕๖๗ แสดงให้เห็นว่าการแก้ปัญหาเฉพาะด้านใดด้านหนึ่งจะไม่สามารถสร้างผลกระทบที่ยั่งยืนได้ ขณะที่ London TfL เป็นต้นแบบของความสำเร็จเนื่องจากควบคุมทั้ง ๔ เสาในหน่วยงานเดียวกัน</w:t>
      </w:r>
    </w:p>
    <w:p>
      <w:pPr>
        <w:spacing w:before="240" w:after="120" w:line="240" w:lineRule="auto"/>
        <w:ind w:left="0"/>
        <w:jc w:val="left"/>
      </w:pPr>
      <w:r>
        <w:rPr>
          <w:rFonts w:ascii="TH Sarabun New" w:hAnsi="TH Sarabun New" w:cs="TH Sarabun New" w:eastAsia="TH Sarabun New"/>
          <w:b/>
          <w:i w:val="0"/>
          <w:sz w:val="36"/>
          <w:szCs w:val="36"/>
        </w:rPr>
        <w:t>๑๐.๒ ข้อเสนอแนะ ๗ ประการ</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Pilot สมุทรปราการเป็นจุดเริ่มต้น: ๓ ปี · MaaS App + Feeder EV + Complete Streets + Tax Deduction (Flagship)</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Joint Task Force คมนาคม-คลัง-อบจ.สมุทรปราการ-กทม. ภายใน ๖ เดือน · co-design ๔ เสาหลัก</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กฎหมายลำดับรอง พ.ร.บ. ระบบตั๋วร่วม ๒๕๖๘ ภายใน ๑ ปี · ทดสอบที่จังหวัดสมุทรปราการก่อน</w:t>
      </w:r>
    </w:p>
    <w:p>
      <w:pPr>
        <w:spacing w:line="240" w:lineRule="auto" w:after="80"/>
        <w:ind w:left="1134" w:hanging="425"/>
      </w:pPr>
      <w:r>
        <w:rPr>
          <w:rFonts w:ascii="TH Sarabun New" w:hAnsi="TH Sarabun New" w:cs="TH Sarabun New" w:eastAsia="TH Sarabun New"/>
          <w:b/>
          <w:i w:val="0"/>
          <w:sz w:val="32"/>
          <w:szCs w:val="32"/>
        </w:rPr>
        <w:t xml:space="preserve">๔.  </w:t>
      </w:r>
      <w:r>
        <w:rPr>
          <w:rFonts w:ascii="TH Sarabun New" w:hAnsi="TH Sarabun New" w:cs="TH Sarabun New" w:eastAsia="TH Sarabun New"/>
          <w:b w:val="0"/>
          <w:i w:val="0"/>
          <w:sz w:val="32"/>
          <w:szCs w:val="32"/>
        </w:rPr>
        <w:t>Quick Win: Commuter Tax Deduction Pilot ๑๕,๐๐๐ บาท/ปี · เริ่มที่นิคมบางปูและบางพลี · งบประมาณ พ.ศ. ๒๕๗๐</w:t>
      </w:r>
    </w:p>
    <w:p>
      <w:pPr>
        <w:spacing w:line="240" w:lineRule="auto" w:after="80"/>
        <w:ind w:left="1134" w:hanging="425"/>
      </w:pPr>
      <w:r>
        <w:rPr>
          <w:rFonts w:ascii="TH Sarabun New" w:hAnsi="TH Sarabun New" w:cs="TH Sarabun New" w:eastAsia="TH Sarabun New"/>
          <w:b/>
          <w:i w:val="0"/>
          <w:sz w:val="32"/>
          <w:szCs w:val="32"/>
        </w:rPr>
        <w:t xml:space="preserve">๕.  </w:t>
      </w:r>
      <w:r>
        <w:rPr>
          <w:rFonts w:ascii="TH Sarabun New" w:hAnsi="TH Sarabun New" w:cs="TH Sarabun New" w:eastAsia="TH Sarabun New"/>
          <w:b w:val="0"/>
          <w:i w:val="0"/>
          <w:sz w:val="32"/>
          <w:szCs w:val="32"/>
        </w:rPr>
        <w:t>BTS Green EMV migration เริ่มที่สมุทรปราการ (สำโรง-เคหะฯ) · ผูกกับสัญญาสัมปทาน พ.ศ. ๒๕๗๒</w:t>
      </w:r>
    </w:p>
    <w:p>
      <w:pPr>
        <w:spacing w:line="240" w:lineRule="auto" w:after="80"/>
        <w:ind w:left="1134" w:hanging="425"/>
      </w:pPr>
      <w:r>
        <w:rPr>
          <w:rFonts w:ascii="TH Sarabun New" w:hAnsi="TH Sarabun New" w:cs="TH Sarabun New" w:eastAsia="TH Sarabun New"/>
          <w:b/>
          <w:i w:val="0"/>
          <w:sz w:val="32"/>
          <w:szCs w:val="32"/>
        </w:rPr>
        <w:t xml:space="preserve">๖.  </w:t>
      </w:r>
      <w:r>
        <w:rPr>
          <w:rFonts w:ascii="TH Sarabun New" w:hAnsi="TH Sarabun New" w:cs="TH Sarabun New" w:eastAsia="TH Sarabun New"/>
          <w:b w:val="0"/>
          <w:i w:val="0"/>
          <w:sz w:val="32"/>
          <w:szCs w:val="32"/>
        </w:rPr>
        <w:t>Open Data First · บังคับ operators ส่ง GTFS/GBFS/GTFS-RT · อบจ. สมุทรปราการเป็นต้นแบบ</w:t>
      </w:r>
    </w:p>
    <w:p>
      <w:pPr>
        <w:spacing w:line="240" w:lineRule="auto" w:after="80"/>
        <w:ind w:left="1134" w:hanging="425"/>
      </w:pPr>
      <w:r>
        <w:rPr>
          <w:rFonts w:ascii="TH Sarabun New" w:hAnsi="TH Sarabun New" w:cs="TH Sarabun New" w:eastAsia="TH Sarabun New"/>
          <w:b/>
          <w:i w:val="0"/>
          <w:sz w:val="32"/>
          <w:szCs w:val="32"/>
        </w:rPr>
        <w:t xml:space="preserve">๗.  </w:t>
      </w:r>
      <w:r>
        <w:rPr>
          <w:rFonts w:ascii="TH Sarabun New" w:hAnsi="TH Sarabun New" w:cs="TH Sarabun New" w:eastAsia="TH Sarabun New"/>
          <w:b w:val="0"/>
          <w:i w:val="0"/>
          <w:sz w:val="32"/>
          <w:szCs w:val="32"/>
        </w:rPr>
        <w:t>Samut Prakan Transit Trust Fund · ringfence รายได้กลับลงทุน Feeder ในจังหวัดสมุทรปราการ · ขยายผลปี พ.ศ. ๒๕๗๒+</w:t>
      </w:r>
    </w:p>
    <w:p>
      <w:pPr>
        <w:spacing w:before="240" w:after="120" w:line="240" w:lineRule="auto"/>
        <w:ind w:left="0"/>
        <w:jc w:val="left"/>
      </w:pPr>
      <w:r>
        <w:rPr>
          <w:rFonts w:ascii="TH Sarabun New" w:hAnsi="TH Sarabun New" w:cs="TH Sarabun New" w:eastAsia="TH Sarabun New"/>
          <w:b/>
          <w:i w:val="0"/>
          <w:sz w:val="36"/>
          <w:szCs w:val="36"/>
        </w:rPr>
        <w:t>๑๐.๓ วิสัยทัศน์ปี พ.ศ. ๒๕๗๖</w:t>
      </w:r>
    </w:p>
    <w:p>
      <w:pPr>
        <w:spacing w:before="240" w:after="80" w:line="240" w:lineRule="auto"/>
        <w:jc w:val="center"/>
      </w:pPr>
      <w:r>
        <w:drawing>
          <wp:inline xmlns:a="http://schemas.openxmlformats.org/drawingml/2006/main" xmlns:pic="http://schemas.openxmlformats.org/drawingml/2006/picture">
            <wp:extent cx="5040000" cy="2835000"/>
            <wp:docPr id="12" name="Picture 12"/>
            <wp:cNvGraphicFramePr>
              <a:graphicFrameLocks noChangeAspect="1"/>
            </wp:cNvGraphicFramePr>
            <a:graphic>
              <a:graphicData uri="http://schemas.openxmlformats.org/drawingml/2006/picture">
                <pic:pic>
                  <pic:nvPicPr>
                    <pic:cNvPr id="0" name="slide-13.png"/>
                    <pic:cNvPicPr/>
                  </pic:nvPicPr>
                  <pic:blipFill>
                    <a:blip r:embed="rId23"/>
                    <a:stretch>
                      <a:fillRect/>
                    </a:stretch>
                  </pic:blipFill>
                  <pic:spPr>
                    <a:xfrm>
                      <a:off x="0" y="0"/>
                      <a:ext cx="5040000" cy="2835000"/>
                    </a:xfrm>
                    <a:prstGeom prst="rect"/>
                  </pic:spPr>
                </pic:pic>
              </a:graphicData>
            </a:graphic>
          </wp:inline>
        </w:drawing>
      </w:r>
    </w:p>
    <w:p>
      <w:pPr>
        <w:spacing w:before="0" w:after="40" w:line="240" w:lineRule="auto"/>
        <w:jc w:val="center"/>
      </w:pPr>
      <w:r>
        <w:rPr>
          <w:rFonts w:ascii="TH Sarabun New" w:hAnsi="TH Sarabun New" w:cs="TH Sarabun New" w:eastAsia="TH Sarabun New"/>
          <w:b/>
          <w:i w:val="0"/>
          <w:sz w:val="32"/>
          <w:szCs w:val="32"/>
        </w:rPr>
        <w:t>ภาพที่ ๑๐.๑ วิสัยทัศน์ปี พ.ศ. ๒๕๗๖ · เริ่มที่สมุทรปราการ ขยายผลทั่วประเทศ</w:t>
      </w:r>
    </w:p>
    <w:p>
      <w:pPr>
        <w:spacing w:before="0" w:after="160" w:line="240" w:lineRule="auto"/>
        <w:jc w:val="center"/>
      </w:pPr>
      <w:r>
        <w:rPr>
          <w:rFonts w:ascii="TH Sarabun New" w:hAnsi="TH Sarabun New" w:cs="TH Sarabun New" w:eastAsia="TH Sarabun New"/>
          <w:b w:val="0"/>
          <w:i/>
          <w:sz w:val="28"/>
          <w:szCs w:val="28"/>
        </w:rPr>
        <w:t xml:space="preserve">ที่มา: </w:t>
      </w:r>
      <w:r>
        <w:rPr>
          <w:rFonts w:ascii="TH Sarabun New" w:hAnsi="TH Sarabun New" w:cs="TH Sarabun New" w:eastAsia="TH Sarabun New"/>
          <w:b w:val="0"/>
          <w:i/>
          <w:sz w:val="28"/>
          <w:szCs w:val="28"/>
        </w:rPr>
        <w:t>คณะผู้จัดทำ (๒๕๖๙)</w:t>
      </w:r>
    </w:p>
    <w:p>
      <w:pPr>
        <w:spacing w:line="240" w:lineRule="auto" w:after="0"/>
        <w:ind w:firstLine="720"/>
        <w:jc w:val="both"/>
      </w:pPr>
      <w:r>
        <w:rPr>
          <w:rFonts w:ascii="TH Sarabun New" w:hAnsi="TH Sarabun New" w:cs="TH Sarabun New" w:eastAsia="TH Sarabun New"/>
          <w:b w:val="0"/>
          <w:i w:val="0"/>
          <w:sz w:val="32"/>
          <w:szCs w:val="32"/>
        </w:rPr>
        <w:t>เริ่มที่สมุทรปราการในปี พ.ศ. ๒๕๗๐ และขยายผลทั่วประเทศในปี พ.ศ. ๒๕๗๖ ประเทศไทยจะมี MaaS เทียบเคียง Berlin Jelbi/Vienna WienMobil · ระบบตั๋วร่วมแบบ London/Sydney · Complete Streets แบบ Paris/Barcelona · มาตรการภาษีแบบ Singapore/Stockholm ในงบประมาณเพียงร้อยละ ๐.๕ ของงบกระทรวง ๑๐ ปี</w:t>
      </w:r>
    </w:p>
    <w:p>
      <w:pPr>
        <w:spacing w:line="240" w:lineRule="auto" w:after="0"/>
        <w:ind w:firstLine="720"/>
        <w:jc w:val="both"/>
      </w:pPr>
      <w:r>
        <w:rPr>
          <w:rFonts w:ascii="TH Sarabun New" w:hAnsi="TH Sarabun New" w:cs="TH Sarabun New" w:eastAsia="TH Sarabun New"/>
          <w:b w:val="0"/>
          <w:i w:val="0"/>
          <w:sz w:val="32"/>
          <w:szCs w:val="32"/>
        </w:rPr>
        <w:t>บูรณาการคมนาคมที่แท้จริงไม่ใช่การสร้างแอปเดียวหรือบัตรเดียว แต่คือการออกแบบระบบทั้งเศรษฐกิจ กฎหมาย เทคโนโลยี และพฤติกรรม ให้สอดคล้องกัน ในยุคหลังพระราชบัญญัติระบบตั๋วร่วม พ.ศ. ๒๕๖๘ ประเทศไทยมีเครื่องมือทางกฎหมายพร้อมแล้ว เหลือเพียง "เจตจำนงทางการเมือง" เท่านั้น</w:t>
      </w:r>
    </w:p>
    <w:p>
      <w:r>
        <w:br w:type="page"/>
      </w:r>
    </w:p>
    <w:p>
      <w:pPr>
        <w:spacing w:line="240" w:lineRule="auto" w:before="0" w:after="240"/>
        <w:jc w:val="center"/>
      </w:pPr>
      <w:r>
        <w:rPr>
          <w:rFonts w:ascii="TH Sarabun New" w:hAnsi="TH Sarabun New" w:cs="TH Sarabun New" w:eastAsia="TH Sarabun New"/>
          <w:b/>
          <w:i w:val="0"/>
          <w:sz w:val="40"/>
          <w:szCs w:val="40"/>
        </w:rPr>
        <w:t>บรรณานุกรม</w:t>
      </w:r>
    </w:p>
    <w:p>
      <w:pPr>
        <w:spacing w:line="240" w:lineRule="auto" w:before="0" w:after="200"/>
        <w:jc w:val="left"/>
      </w:pPr>
      <w:r>
        <w:rPr>
          <w:rFonts w:ascii="TH Sarabun New" w:hAnsi="TH Sarabun New" w:cs="TH Sarabun New" w:eastAsia="TH Sarabun New"/>
          <w:b/>
          <w:i w:val="0"/>
          <w:color w:val="1F4E79"/>
          <w:sz w:val="36"/>
          <w:szCs w:val="36"/>
        </w:rPr>
        <w:t>รายการอ้างอิงภาษาไทย</w:t>
      </w:r>
    </w:p>
    <w:p>
      <w:pPr>
        <w:spacing w:line="240" w:lineRule="auto" w:after="120"/>
        <w:ind w:left="720" w:hanging="720"/>
        <w:jc w:val="both"/>
      </w:pPr>
      <w:r>
        <w:rPr>
          <w:rFonts w:ascii="TH Sarabun New" w:hAnsi="TH Sarabun New" w:cs="TH Sarabun New" w:eastAsia="TH Sarabun New"/>
          <w:b w:val="0"/>
          <w:i w:val="0"/>
          <w:sz w:val="32"/>
          <w:szCs w:val="32"/>
        </w:rPr>
        <w:t>กรมควบคุมมลพิษ. (๒๕๖๖). รายงานสถานการณ์มลพิษทางอากาศและเสียง ประจำปี ๒๕๖๖. กรุงเทพมหานคร: กระทรวงทรัพยากรธรรมชาติและสิ่งแวดล้อม.</w:t>
      </w:r>
    </w:p>
    <w:p>
      <w:pPr>
        <w:spacing w:line="240" w:lineRule="auto" w:after="120"/>
        <w:ind w:left="720" w:hanging="720"/>
        <w:jc w:val="both"/>
      </w:pPr>
      <w:r>
        <w:rPr>
          <w:rFonts w:ascii="TH Sarabun New" w:hAnsi="TH Sarabun New" w:cs="TH Sarabun New" w:eastAsia="TH Sarabun New"/>
          <w:b w:val="0"/>
          <w:i w:val="0"/>
          <w:sz w:val="32"/>
          <w:szCs w:val="32"/>
        </w:rPr>
        <w:t>กระทรวงคมนาคม. (๒๕๖๘). พระราชบัญญัติระบบตั๋วร่วม พ.ศ. ๒๕๖๘. ราชกิจจานุเบกษา, เล่ม ๑๔๒ ตอนที่ ๘๘ ก, ลงวันที่ ๒๗ ธันวาคม ๒๕๖๘.</w:t>
      </w:r>
    </w:p>
    <w:p>
      <w:pPr>
        <w:spacing w:line="240" w:lineRule="auto" w:after="120"/>
        <w:ind w:left="720" w:hanging="720"/>
        <w:jc w:val="both"/>
      </w:pPr>
      <w:r>
        <w:rPr>
          <w:rFonts w:ascii="TH Sarabun New" w:hAnsi="TH Sarabun New" w:cs="TH Sarabun New" w:eastAsia="TH Sarabun New"/>
          <w:b w:val="0"/>
          <w:i w:val="0"/>
          <w:sz w:val="32"/>
          <w:szCs w:val="32"/>
        </w:rPr>
        <w:t>การนิคมอุตสาหกรรมแห่งประเทศไทย. (๒๕๖๖). ข้อมูลนิคมอุตสาหกรรมในจังหวัดสมุทรปราการ. กรุงเทพมหานคร: กนอ.</w:t>
      </w:r>
    </w:p>
    <w:p>
      <w:pPr>
        <w:spacing w:line="240" w:lineRule="auto" w:after="120"/>
        <w:ind w:left="720" w:hanging="720"/>
        <w:jc w:val="both"/>
      </w:pPr>
      <w:r>
        <w:rPr>
          <w:rFonts w:ascii="TH Sarabun New" w:hAnsi="TH Sarabun New" w:cs="TH Sarabun New" w:eastAsia="TH Sarabun New"/>
          <w:b w:val="0"/>
          <w:i w:val="0"/>
          <w:sz w:val="32"/>
          <w:szCs w:val="32"/>
        </w:rPr>
        <w:t>การรถไฟฟ้าขนส่งมวลชนแห่งประเทศไทย. (๒๕๖๖). รายงานประจำปี ๒๕๖๖. กรุงเทพมหานคร: รฟม.</w:t>
      </w:r>
    </w:p>
    <w:p>
      <w:pPr>
        <w:spacing w:line="240" w:lineRule="auto" w:after="120"/>
        <w:ind w:left="720" w:hanging="720"/>
        <w:jc w:val="both"/>
      </w:pPr>
      <w:r>
        <w:rPr>
          <w:rFonts w:ascii="TH Sarabun New" w:hAnsi="TH Sarabun New" w:cs="TH Sarabun New" w:eastAsia="TH Sarabun New"/>
          <w:b w:val="0"/>
          <w:i w:val="0"/>
          <w:sz w:val="32"/>
          <w:szCs w:val="32"/>
        </w:rPr>
        <w:t>สำนักงานนโยบายและแผนการขนส่งและจราจร. (๒๕๖๖). แผนแม่บทระบบขนส่งมวลชนทางรางในเขตกรุงเทพมหานครและปริมณฑล (M-MAP 2). กรุงเทพมหานคร: กระทรวงคมนาคม.</w:t>
      </w:r>
    </w:p>
    <w:p>
      <w:pPr>
        <w:spacing w:line="240" w:lineRule="auto" w:after="120"/>
        <w:ind w:left="720" w:hanging="720"/>
        <w:jc w:val="both"/>
      </w:pPr>
      <w:r>
        <w:rPr>
          <w:rFonts w:ascii="TH Sarabun New" w:hAnsi="TH Sarabun New" w:cs="TH Sarabun New" w:eastAsia="TH Sarabun New"/>
          <w:b w:val="0"/>
          <w:i w:val="0"/>
          <w:sz w:val="32"/>
          <w:szCs w:val="32"/>
        </w:rPr>
        <w:t>สำนักงานสภาพัฒนาการเศรษฐกิจและสังคมแห่งชาติ. (๒๕๖๑). ยุทธศาสตร์ชาติ (พ.ศ. ๒๕๖๑-๒๕๘๐). กรุงเทพมหานคร: สศช.</w:t>
      </w:r>
    </w:p>
    <w:p>
      <w:pPr>
        <w:spacing w:line="240" w:lineRule="auto" w:before="0" w:after="120"/>
        <w:jc w:val="left"/>
      </w:pPr>
    </w:p>
    <w:p>
      <w:pPr>
        <w:spacing w:line="240" w:lineRule="auto" w:before="200" w:after="200"/>
        <w:jc w:val="left"/>
      </w:pPr>
      <w:r>
        <w:rPr>
          <w:rFonts w:ascii="TH Sarabun New" w:hAnsi="TH Sarabun New" w:cs="TH Sarabun New" w:eastAsia="TH Sarabun New"/>
          <w:b/>
          <w:i w:val="0"/>
          <w:color w:val="1F4E79"/>
          <w:sz w:val="36"/>
          <w:szCs w:val="36"/>
        </w:rPr>
        <w:t>รายการอ้างอิงภาษาต่างประเทศ</w:t>
      </w:r>
    </w:p>
    <w:p>
      <w:pPr>
        <w:spacing w:line="240" w:lineRule="auto" w:after="120"/>
        <w:ind w:left="720" w:hanging="720"/>
        <w:jc w:val="both"/>
      </w:pPr>
      <w:r>
        <w:rPr>
          <w:rFonts w:ascii="TH Sarabun New" w:hAnsi="TH Sarabun New" w:cs="TH Sarabun New" w:eastAsia="TH Sarabun New"/>
          <w:b w:val="0"/>
          <w:i w:val="0"/>
          <w:sz w:val="32"/>
          <w:szCs w:val="32"/>
        </w:rPr>
        <w:t>Asian Development Bank. (๒๕๖๖). Bangkok Mobility Study ๒๕๖๖: Pathway to Sustainable Urban Transport. Manila: ADB.</w:t>
      </w:r>
    </w:p>
    <w:p>
      <w:pPr>
        <w:spacing w:line="240" w:lineRule="auto" w:after="120"/>
        <w:ind w:left="720" w:hanging="720"/>
        <w:jc w:val="both"/>
      </w:pPr>
      <w:r>
        <w:rPr>
          <w:rFonts w:ascii="TH Sarabun New" w:hAnsi="TH Sarabun New" w:cs="TH Sarabun New" w:eastAsia="TH Sarabun New"/>
          <w:b w:val="0"/>
          <w:i w:val="0"/>
          <w:sz w:val="32"/>
          <w:szCs w:val="32"/>
        </w:rPr>
        <w:t>Berliner Verkehrsbetriebe (BVG). (2023). Jelbi: Berlin's Public-led MaaS Platform - Annual Report ๒๐๒๓. Berlin: BVG.</w:t>
      </w:r>
    </w:p>
    <w:p>
      <w:pPr>
        <w:spacing w:line="240" w:lineRule="auto" w:after="120"/>
        <w:ind w:left="720" w:hanging="720"/>
        <w:jc w:val="both"/>
      </w:pPr>
      <w:r>
        <w:rPr>
          <w:rFonts w:ascii="TH Sarabun New" w:hAnsi="TH Sarabun New" w:cs="TH Sarabun New" w:eastAsia="TH Sarabun New"/>
          <w:b w:val="0"/>
          <w:i w:val="0"/>
          <w:sz w:val="32"/>
          <w:szCs w:val="32"/>
        </w:rPr>
        <w:t>Cubic Transportation Systems. (2024). EMV Open-loop Implementation Guide for Public Transit Operators. San Diego: Cubic.</w:t>
      </w:r>
    </w:p>
    <w:p>
      <w:pPr>
        <w:spacing w:line="240" w:lineRule="auto" w:after="120"/>
        <w:ind w:left="720" w:hanging="720"/>
        <w:jc w:val="both"/>
      </w:pPr>
      <w:r>
        <w:rPr>
          <w:rFonts w:ascii="TH Sarabun New" w:hAnsi="TH Sarabun New" w:cs="TH Sarabun New" w:eastAsia="TH Sarabun New"/>
          <w:b w:val="0"/>
          <w:i w:val="0"/>
          <w:sz w:val="32"/>
          <w:szCs w:val="32"/>
        </w:rPr>
        <w:t>EMVCo. (2024). EMV Contactless Specifications for Payment Systems, Book A - Architecture and General Requirements, Version ๒.๑๐. EMVCo.</w:t>
      </w:r>
    </w:p>
    <w:p>
      <w:pPr>
        <w:spacing w:line="240" w:lineRule="auto" w:after="120"/>
        <w:ind w:left="720" w:hanging="720"/>
        <w:jc w:val="both"/>
      </w:pPr>
      <w:r>
        <w:rPr>
          <w:rFonts w:ascii="TH Sarabun New" w:hAnsi="TH Sarabun New" w:cs="TH Sarabun New" w:eastAsia="TH Sarabun New"/>
          <w:b w:val="0"/>
          <w:i w:val="0"/>
          <w:sz w:val="32"/>
          <w:szCs w:val="32"/>
        </w:rPr>
        <w:t>Eliasson, J. (2014). The Stockholm congestion charges: an overview. CTS Working Paper ๒๐๑๔:๗. Stockholm: Centre for Transport Studies.</w:t>
      </w:r>
    </w:p>
    <w:p>
      <w:pPr>
        <w:spacing w:line="240" w:lineRule="auto" w:after="120"/>
        <w:ind w:left="720" w:hanging="720"/>
        <w:jc w:val="both"/>
      </w:pPr>
      <w:r>
        <w:rPr>
          <w:rFonts w:ascii="TH Sarabun New" w:hAnsi="TH Sarabun New" w:cs="TH Sarabun New" w:eastAsia="TH Sarabun New"/>
          <w:b w:val="0"/>
          <w:i w:val="0"/>
          <w:sz w:val="32"/>
          <w:szCs w:val="32"/>
        </w:rPr>
        <w:t>Hietanen, S. (2014). "Mobility as a Service" - the new transport model? ITS &amp; Transport Management Supplement. Eurotransport, ๑๒(๒), ๒-๔.</w:t>
      </w:r>
    </w:p>
    <w:p>
      <w:pPr>
        <w:spacing w:line="240" w:lineRule="auto" w:after="120"/>
        <w:ind w:left="720" w:hanging="720"/>
        <w:jc w:val="both"/>
      </w:pPr>
      <w:r>
        <w:rPr>
          <w:rFonts w:ascii="TH Sarabun New" w:hAnsi="TH Sarabun New" w:cs="TH Sarabun New" w:eastAsia="TH Sarabun New"/>
          <w:b w:val="0"/>
          <w:i w:val="0"/>
          <w:sz w:val="32"/>
          <w:szCs w:val="32"/>
        </w:rPr>
        <w:t>International Energy Agency. (2024). Global EV Outlook ๒๐๒๔. Paris: IEA.</w:t>
      </w:r>
    </w:p>
    <w:p>
      <w:pPr>
        <w:spacing w:line="240" w:lineRule="auto" w:after="120"/>
        <w:ind w:left="720" w:hanging="720"/>
        <w:jc w:val="both"/>
      </w:pPr>
      <w:r>
        <w:rPr>
          <w:rFonts w:ascii="TH Sarabun New" w:hAnsi="TH Sarabun New" w:cs="TH Sarabun New" w:eastAsia="TH Sarabun New"/>
          <w:b w:val="0"/>
          <w:i w:val="0"/>
          <w:sz w:val="32"/>
          <w:szCs w:val="32"/>
        </w:rPr>
        <w:t>Land Transport Authority Singapore. (2024). Land Transport Master Plan ๒๐๔๐. Singapore: LTA.</w:t>
      </w:r>
    </w:p>
    <w:p>
      <w:pPr>
        <w:spacing w:line="240" w:lineRule="auto" w:after="120"/>
        <w:ind w:left="720" w:hanging="720"/>
        <w:jc w:val="both"/>
      </w:pPr>
      <w:r>
        <w:rPr>
          <w:rFonts w:ascii="TH Sarabun New" w:hAnsi="TH Sarabun New" w:cs="TH Sarabun New" w:eastAsia="TH Sarabun New"/>
          <w:b w:val="0"/>
          <w:i w:val="0"/>
          <w:sz w:val="32"/>
          <w:szCs w:val="32"/>
        </w:rPr>
        <w:t>Mairie de Paris. (2022). Plan Vélo ๒๐๒๑-๒๐๒๖: Bilan d'étape. Paris: City of Paris.</w:t>
      </w:r>
    </w:p>
    <w:p>
      <w:pPr>
        <w:spacing w:line="240" w:lineRule="auto" w:after="120"/>
        <w:ind w:left="720" w:hanging="720"/>
        <w:jc w:val="both"/>
      </w:pPr>
      <w:r>
        <w:rPr>
          <w:rFonts w:ascii="TH Sarabun New" w:hAnsi="TH Sarabun New" w:cs="TH Sarabun New" w:eastAsia="TH Sarabun New"/>
          <w:b w:val="0"/>
          <w:i w:val="0"/>
          <w:sz w:val="32"/>
          <w:szCs w:val="32"/>
        </w:rPr>
        <w:t>NACTO. (2013). Urban Street Design Guide. Washington, DC: Island Press.</w:t>
      </w:r>
    </w:p>
    <w:p>
      <w:pPr>
        <w:spacing w:line="240" w:lineRule="auto" w:after="120"/>
        <w:ind w:left="720" w:hanging="720"/>
        <w:jc w:val="both"/>
      </w:pPr>
      <w:r>
        <w:rPr>
          <w:rFonts w:ascii="TH Sarabun New" w:hAnsi="TH Sarabun New" w:cs="TH Sarabun New" w:eastAsia="TH Sarabun New"/>
          <w:b w:val="0"/>
          <w:i w:val="0"/>
          <w:sz w:val="32"/>
          <w:szCs w:val="32"/>
        </w:rPr>
        <w:t>NYC Department of Transportation. (2013). Times Square Pedestrian Plaza: An Economic and Public Health Success. New York: NYC DOT.</w:t>
      </w:r>
    </w:p>
    <w:p>
      <w:pPr>
        <w:spacing w:line="240" w:lineRule="auto" w:after="120"/>
        <w:ind w:left="720" w:hanging="720"/>
        <w:jc w:val="both"/>
      </w:pPr>
      <w:r>
        <w:rPr>
          <w:rFonts w:ascii="TH Sarabun New" w:hAnsi="TH Sarabun New" w:cs="TH Sarabun New" w:eastAsia="TH Sarabun New"/>
          <w:b w:val="0"/>
          <w:i w:val="0"/>
          <w:sz w:val="32"/>
          <w:szCs w:val="32"/>
        </w:rPr>
        <w:t>République Française. (2020). Code des transports, articles L. ๒๓๓๓-๖๔ et suivants - Versement Mobilité. Paris.</w:t>
      </w:r>
    </w:p>
    <w:p>
      <w:pPr>
        <w:spacing w:line="240" w:lineRule="auto" w:after="120"/>
        <w:ind w:left="720" w:hanging="720"/>
        <w:jc w:val="both"/>
      </w:pPr>
      <w:r>
        <w:rPr>
          <w:rFonts w:ascii="TH Sarabun New" w:hAnsi="TH Sarabun New" w:cs="TH Sarabun New" w:eastAsia="TH Sarabun New"/>
          <w:b w:val="0"/>
          <w:i w:val="0"/>
          <w:sz w:val="32"/>
          <w:szCs w:val="32"/>
        </w:rPr>
        <w:t>Sochor, J., Arby, H., Karlsson, I. C. M., &amp; Sarasini, S. (2018). A topological approach to Mobility as a Service. Research in Transportation Business &amp; Management, ๒๗, ๓-๑๔.</w:t>
      </w:r>
    </w:p>
    <w:p>
      <w:pPr>
        <w:spacing w:line="240" w:lineRule="auto" w:after="120"/>
        <w:ind w:left="720" w:hanging="720"/>
        <w:jc w:val="both"/>
      </w:pPr>
      <w:r>
        <w:rPr>
          <w:rFonts w:ascii="TH Sarabun New" w:hAnsi="TH Sarabun New" w:cs="TH Sarabun New" w:eastAsia="TH Sarabun New"/>
          <w:b w:val="0"/>
          <w:i w:val="0"/>
          <w:sz w:val="32"/>
          <w:szCs w:val="32"/>
        </w:rPr>
        <w:t>Sustrans. (2019). Workplace Parking Levy: Lessons from Nottingham. Bristol: Sustrans.</w:t>
      </w:r>
    </w:p>
    <w:p>
      <w:pPr>
        <w:spacing w:line="240" w:lineRule="auto" w:after="120"/>
        <w:ind w:left="720" w:hanging="720"/>
        <w:jc w:val="both"/>
      </w:pPr>
      <w:r>
        <w:rPr>
          <w:rFonts w:ascii="TH Sarabun New" w:hAnsi="TH Sarabun New" w:cs="TH Sarabun New" w:eastAsia="TH Sarabun New"/>
          <w:b w:val="0"/>
          <w:i w:val="0"/>
          <w:sz w:val="32"/>
          <w:szCs w:val="32"/>
        </w:rPr>
        <w:t>TomTom. (2024). TomTom Traffic Index ๒๐๒๓. Amsterdam: TomTom International BV.</w:t>
      </w:r>
    </w:p>
    <w:p>
      <w:pPr>
        <w:spacing w:line="240" w:lineRule="auto" w:after="120"/>
        <w:ind w:left="720" w:hanging="720"/>
        <w:jc w:val="both"/>
      </w:pPr>
      <w:r>
        <w:rPr>
          <w:rFonts w:ascii="TH Sarabun New" w:hAnsi="TH Sarabun New" w:cs="TH Sarabun New" w:eastAsia="TH Sarabun New"/>
          <w:b w:val="0"/>
          <w:i w:val="0"/>
          <w:sz w:val="32"/>
          <w:szCs w:val="32"/>
        </w:rPr>
        <w:t>Transport for London. (2024). TfL Annual Report and Statement of Accounts ๒๐๒๓/๒๔. London: TfL.</w:t>
      </w:r>
    </w:p>
    <w:p>
      <w:pPr>
        <w:spacing w:line="240" w:lineRule="auto" w:after="120"/>
        <w:ind w:left="720" w:hanging="720"/>
        <w:jc w:val="both"/>
      </w:pPr>
      <w:r>
        <w:rPr>
          <w:rFonts w:ascii="TH Sarabun New" w:hAnsi="TH Sarabun New" w:cs="TH Sarabun New" w:eastAsia="TH Sarabun New"/>
          <w:b w:val="0"/>
          <w:i w:val="0"/>
          <w:sz w:val="32"/>
          <w:szCs w:val="32"/>
        </w:rPr>
        <w:t>World Bank. (๒๕๖๖). Urban Mobility in Southeast Asia: A Multi-Country Benchmarking Study. Washington, DC: World Bank.</w:t>
      </w:r>
    </w:p>
    <w:p>
      <w:r>
        <w:br w:type="page"/>
      </w:r>
    </w:p>
    <w:p>
      <w:pPr>
        <w:spacing w:before="0" w:after="0" w:line="240" w:lineRule="auto"/>
        <w:jc w:val="center"/>
      </w:pPr>
      <w:r>
        <w:rPr>
          <w:rFonts w:ascii="TH Sarabun New" w:hAnsi="TH Sarabun New" w:cs="TH Sarabun New" w:eastAsia="TH Sarabun New"/>
          <w:b/>
          <w:i w:val="0"/>
          <w:sz w:val="40"/>
          <w:szCs w:val="40"/>
        </w:rPr>
        <w:t>บทที่ ก</w:t>
      </w:r>
    </w:p>
    <w:p>
      <w:pPr>
        <w:spacing w:before="0" w:after="360" w:line="240" w:lineRule="auto"/>
        <w:jc w:val="center"/>
      </w:pPr>
      <w:r>
        <w:rPr>
          <w:rFonts w:ascii="TH Sarabun New" w:hAnsi="TH Sarabun New" w:cs="TH Sarabun New" w:eastAsia="TH Sarabun New"/>
          <w:b/>
          <w:i w:val="0"/>
          <w:sz w:val="40"/>
          <w:szCs w:val="40"/>
        </w:rPr>
        <w:t>รายละเอียดเส้นทางและสถานี</w:t>
        <w:br/>
        <w:t>ในจังหวัดสมุทรปราการ</w:t>
      </w:r>
    </w:p>
    <w:p>
      <w:pPr>
        <w:spacing w:before="240" w:after="120" w:line="240" w:lineRule="auto"/>
        <w:ind w:left="0"/>
        <w:jc w:val="left"/>
      </w:pPr>
      <w:r>
        <w:rPr>
          <w:rFonts w:ascii="TH Sarabun New" w:hAnsi="TH Sarabun New" w:cs="TH Sarabun New" w:eastAsia="TH Sarabun New"/>
          <w:b/>
          <w:i w:val="0"/>
          <w:sz w:val="36"/>
          <w:szCs w:val="36"/>
        </w:rPr>
        <w:t>ก.๑ BTS สีเขียวเข้ม (สำโรง-เคหะฯ)</w:t>
      </w:r>
    </w:p>
    <w:p>
      <w:pPr>
        <w:spacing w:line="240" w:lineRule="auto" w:after="0"/>
        <w:ind w:firstLine="720"/>
        <w:jc w:val="both"/>
      </w:pPr>
      <w:r>
        <w:rPr>
          <w:rFonts w:ascii="TH Sarabun New" w:hAnsi="TH Sarabun New" w:cs="TH Sarabun New" w:eastAsia="TH Sarabun New"/>
          <w:b w:val="0"/>
          <w:i w:val="0"/>
          <w:sz w:val="32"/>
          <w:szCs w:val="32"/>
        </w:rPr>
        <w:t>สถานีในจังหวัดสมุทรปราการ ๙ สถานี เปิดให้บริการเมื่อวันที่ ๖ ธันวาคม พ.ศ. ๒๕๖๑ ระยะทาง ๑๒.๘ กิโลเมตร ดังนี้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สำโรง — จุดเปลี่ยน BTS-MRT สีเหลือง · ใจกลางอำเภอเมือง</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ปู่เจ้า — พื้นที่อยู่อาศัย</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ช้างเอราวัณ — จุดสำคัญทางวัฒนธรรม</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โรงเรียนนายเรือ — พื้นที่สถาบันการศึกษา</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ปากน้ำ — ใจกลางเมืองสมุทรปราการ · ตลาดปากน้ำ</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ศรีนครินทร์ — พื้นที่อยู่อาศัยและพาณิชย์</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แพรกษา — พื้นที่อยู่อาศัย</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สายลวด — พื้นที่อยู่อาศัย</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เคหะฯ — ปลายทาง · พื้นที่อยู่อาศัยขนาดใหญ่</w:t>
      </w:r>
    </w:p>
    <w:p>
      <w:pPr>
        <w:spacing w:before="240" w:after="120" w:line="240" w:lineRule="auto"/>
        <w:ind w:left="0"/>
        <w:jc w:val="left"/>
      </w:pPr>
      <w:r>
        <w:rPr>
          <w:rFonts w:ascii="TH Sarabun New" w:hAnsi="TH Sarabun New" w:cs="TH Sarabun New" w:eastAsia="TH Sarabun New"/>
          <w:b/>
          <w:i w:val="0"/>
          <w:sz w:val="36"/>
          <w:szCs w:val="36"/>
        </w:rPr>
        <w:t>ก.๒ Feeder EV ๓ สาย (ของ อบจ. สมุทรปราการ)</w:t>
      </w:r>
    </w:p>
    <w:p>
      <w:pPr>
        <w:spacing w:before="160" w:after="80" w:line="240" w:lineRule="auto"/>
        <w:ind w:left="720"/>
        <w:jc w:val="left"/>
      </w:pPr>
      <w:r>
        <w:rPr>
          <w:rFonts w:ascii="TH Sarabun New" w:hAnsi="TH Sarabun New" w:cs="TH Sarabun New" w:eastAsia="TH Sarabun New"/>
          <w:b/>
          <w:i w:val="0"/>
          <w:sz w:val="32"/>
          <w:szCs w:val="32"/>
        </w:rPr>
        <w:t>สาย ๑: ปากน้ำ-สำโรง-นิคมบางปู</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ตลาดปากน้ำ</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เทศบาลปากน้ำ</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โรงพยาบาลสมุทรปราการ</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อิมพีเรียลเวิลด์ สำโรง</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BTS สำโรง (จุดเปลี่ยน)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นิคมบางปู โซน A</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นิคมบางปู โซน B</w:t>
      </w:r>
    </w:p>
    <w:p>
      <w:pPr>
        <w:spacing w:before="160" w:after="80" w:line="240" w:lineRule="auto"/>
        <w:ind w:left="720"/>
        <w:jc w:val="left"/>
      </w:pPr>
      <w:r>
        <w:rPr>
          <w:rFonts w:ascii="TH Sarabun New" w:hAnsi="TH Sarabun New" w:cs="TH Sarabun New" w:eastAsia="TH Sarabun New"/>
          <w:b/>
          <w:i w:val="0"/>
          <w:sz w:val="32"/>
          <w:szCs w:val="32"/>
        </w:rPr>
        <w:t>สาย ๒: เคหะฯ-แพรกษา-เมืองโบราณ</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BTS เคหะฯ (จุดเปลี่ยน)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BTS แพรกษา (จุดเปลี่ยน)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เมืองโบราณ</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ฟาร์มจระเข้</w:t>
      </w:r>
    </w:p>
    <w:p>
      <w:pPr>
        <w:spacing w:before="160" w:after="80" w:line="240" w:lineRule="auto"/>
        <w:ind w:left="720"/>
        <w:jc w:val="left"/>
      </w:pPr>
      <w:r>
        <w:rPr>
          <w:rFonts w:ascii="TH Sarabun New" w:hAnsi="TH Sarabun New" w:cs="TH Sarabun New" w:eastAsia="TH Sarabun New"/>
          <w:b/>
          <w:i w:val="0"/>
          <w:sz w:val="32"/>
          <w:szCs w:val="32"/>
        </w:rPr>
        <w:t>สาย ๓: สำโรง-บางพลี-สุวรรณภูมิ</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BTS สำโรง (จุดเริ่มต้น)</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เทพารักษ์</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บางพลี (อบจ.)</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นิคมบางพลี</w:t>
      </w:r>
    </w:p>
    <w:p>
      <w:pPr>
        <w:spacing w:line="240" w:lineRule="auto" w:after="0"/>
        <w:ind w:left="1134" w:hanging="283"/>
      </w:pPr>
      <w:r>
        <w:rPr>
          <w:rFonts w:ascii="TH Sarabun New" w:hAnsi="TH Sarabun New" w:cs="TH Sarabun New" w:eastAsia="TH Sarabun New"/>
          <w:b w:val="0"/>
          <w:i w:val="0"/>
          <w:sz w:val="32"/>
          <w:szCs w:val="32"/>
        </w:rPr>
        <w:t xml:space="preserve">•  </w:t>
      </w:r>
      <w:r>
        <w:rPr>
          <w:rFonts w:ascii="TH Sarabun New" w:hAnsi="TH Sarabun New" w:cs="TH Sarabun New" w:eastAsia="TH Sarabun New"/>
          <w:b w:val="0"/>
          <w:i w:val="0"/>
          <w:sz w:val="32"/>
          <w:szCs w:val="32"/>
        </w:rPr>
        <w:t>สนามบินสุวรรณภูมิ (จุดเชื่อม ARL)</w:t>
      </w:r>
    </w:p>
    <w:p>
      <w:r>
        <w:br w:type="page"/>
      </w:r>
    </w:p>
    <w:p>
      <w:pPr>
        <w:spacing w:before="0" w:after="0" w:line="240" w:lineRule="auto"/>
        <w:jc w:val="center"/>
      </w:pPr>
      <w:r>
        <w:rPr>
          <w:rFonts w:ascii="TH Sarabun New" w:hAnsi="TH Sarabun New" w:cs="TH Sarabun New" w:eastAsia="TH Sarabun New"/>
          <w:b/>
          <w:i w:val="0"/>
          <w:sz w:val="40"/>
          <w:szCs w:val="40"/>
        </w:rPr>
        <w:t>บทที่ ข</w:t>
      </w:r>
    </w:p>
    <w:p>
      <w:pPr>
        <w:spacing w:before="0" w:after="360" w:line="240" w:lineRule="auto"/>
        <w:jc w:val="center"/>
      </w:pPr>
      <w:r>
        <w:rPr>
          <w:rFonts w:ascii="TH Sarabun New" w:hAnsi="TH Sarabun New" w:cs="TH Sarabun New" w:eastAsia="TH Sarabun New"/>
          <w:b/>
          <w:i w:val="0"/>
          <w:sz w:val="40"/>
          <w:szCs w:val="40"/>
        </w:rPr>
        <w:t>การคำนวณงบประมาณรายโครงการ</w:t>
      </w:r>
    </w:p>
    <w:p>
      <w:pPr>
        <w:spacing w:before="240" w:after="120" w:line="240" w:lineRule="auto"/>
        <w:ind w:left="0"/>
        <w:jc w:val="left"/>
      </w:pPr>
      <w:r>
        <w:rPr>
          <w:rFonts w:ascii="TH Sarabun New" w:hAnsi="TH Sarabun New" w:cs="TH Sarabun New" w:eastAsia="TH Sarabun New"/>
          <w:b/>
          <w:i w:val="0"/>
          <w:sz w:val="36"/>
          <w:szCs w:val="36"/>
        </w:rPr>
        <w:t>ข.๑ BTS Green EMV migration (๓๐๐-๕๐๐ ล้านบาท)</w:t>
      </w:r>
    </w:p>
    <w:p>
      <w:pPr>
        <w:spacing w:line="240" w:lineRule="auto" w:after="0"/>
        <w:ind w:firstLine="720"/>
        <w:jc w:val="both"/>
      </w:pPr>
      <w:r>
        <w:rPr>
          <w:rFonts w:ascii="TH Sarabun New" w:hAnsi="TH Sarabun New" w:cs="TH Sarabun New" w:eastAsia="TH Sarabun New"/>
          <w:b w:val="0"/>
          <w:i w:val="0"/>
          <w:sz w:val="32"/>
          <w:szCs w:val="32"/>
        </w:rPr>
        <w:t>ขั้นตอนการคำนวณมีดังนี้</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นับจำนวนประตูตรวจตั๋ว: ๙ สถานี × ๑๘ ตู้/สถานี + spare ๑๐% = ๑๘๐ ตู้</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ค่า hardware EMV gate: ๑๘๐ ตู้ × ๐.๘-๑.๕ ล้านบาท/ตู้ = ๑๔๔-๒๗๐ ล้านบาท</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Backend integration กับ NTCH: ๔๐-๖๐ ล้านบาท</w:t>
      </w:r>
    </w:p>
    <w:p>
      <w:pPr>
        <w:spacing w:line="240" w:lineRule="auto" w:after="80"/>
        <w:ind w:left="1134" w:hanging="425"/>
      </w:pPr>
      <w:r>
        <w:rPr>
          <w:rFonts w:ascii="TH Sarabun New" w:hAnsi="TH Sarabun New" w:cs="TH Sarabun New" w:eastAsia="TH Sarabun New"/>
          <w:b/>
          <w:i w:val="0"/>
          <w:sz w:val="32"/>
          <w:szCs w:val="32"/>
        </w:rPr>
        <w:t xml:space="preserve">๔.  </w:t>
      </w:r>
      <w:r>
        <w:rPr>
          <w:rFonts w:ascii="TH Sarabun New" w:hAnsi="TH Sarabun New" w:cs="TH Sarabun New" w:eastAsia="TH Sarabun New"/>
          <w:b w:val="0"/>
          <w:i w:val="0"/>
          <w:sz w:val="32"/>
          <w:szCs w:val="32"/>
        </w:rPr>
        <w:t>Software license + ๕ ปี support: ๓๐-๕๐ ล้านบาท</w:t>
      </w:r>
    </w:p>
    <w:p>
      <w:pPr>
        <w:spacing w:line="240" w:lineRule="auto" w:after="80"/>
        <w:ind w:left="1134" w:hanging="425"/>
      </w:pPr>
      <w:r>
        <w:rPr>
          <w:rFonts w:ascii="TH Sarabun New" w:hAnsi="TH Sarabun New" w:cs="TH Sarabun New" w:eastAsia="TH Sarabun New"/>
          <w:b/>
          <w:i w:val="0"/>
          <w:sz w:val="32"/>
          <w:szCs w:val="32"/>
        </w:rPr>
        <w:t xml:space="preserve">๕.  </w:t>
      </w:r>
      <w:r>
        <w:rPr>
          <w:rFonts w:ascii="TH Sarabun New" w:hAnsi="TH Sarabun New" w:cs="TH Sarabun New" w:eastAsia="TH Sarabun New"/>
          <w:b w:val="0"/>
          <w:i w:val="0"/>
          <w:sz w:val="32"/>
          <w:szCs w:val="32"/>
        </w:rPr>
        <w:t>Installation + commissioning: ๓๐-๔๐ ล้านบาท</w:t>
      </w:r>
    </w:p>
    <w:p>
      <w:pPr>
        <w:spacing w:line="240" w:lineRule="auto" w:after="80"/>
        <w:ind w:left="1134" w:hanging="425"/>
      </w:pPr>
      <w:r>
        <w:rPr>
          <w:rFonts w:ascii="TH Sarabun New" w:hAnsi="TH Sarabun New" w:cs="TH Sarabun New" w:eastAsia="TH Sarabun New"/>
          <w:b/>
          <w:i w:val="0"/>
          <w:sz w:val="32"/>
          <w:szCs w:val="32"/>
        </w:rPr>
        <w:t xml:space="preserve">๖.  </w:t>
      </w:r>
      <w:r>
        <w:rPr>
          <w:rFonts w:ascii="TH Sarabun New" w:hAnsi="TH Sarabun New" w:cs="TH Sarabun New" w:eastAsia="TH Sarabun New"/>
          <w:b w:val="0"/>
          <w:i w:val="0"/>
          <w:sz w:val="32"/>
          <w:szCs w:val="32"/>
        </w:rPr>
        <w:t>Marketing + public communication (๕ เดือน): ๕๐-๘๐ ล้านบาท</w:t>
      </w:r>
    </w:p>
    <w:p>
      <w:pPr>
        <w:spacing w:line="240" w:lineRule="auto" w:after="80"/>
        <w:ind w:left="1134" w:hanging="425"/>
      </w:pPr>
      <w:r>
        <w:rPr>
          <w:rFonts w:ascii="TH Sarabun New" w:hAnsi="TH Sarabun New" w:cs="TH Sarabun New" w:eastAsia="TH Sarabun New"/>
          <w:b/>
          <w:i w:val="0"/>
          <w:sz w:val="32"/>
          <w:szCs w:val="32"/>
        </w:rPr>
        <w:t xml:space="preserve">๗.  </w:t>
      </w:r>
      <w:r>
        <w:rPr>
          <w:rFonts w:ascii="TH Sarabun New" w:hAnsi="TH Sarabun New" w:cs="TH Sarabun New" w:eastAsia="TH Sarabun New"/>
          <w:b w:val="0"/>
          <w:i w:val="0"/>
          <w:sz w:val="32"/>
          <w:szCs w:val="32"/>
        </w:rPr>
        <w:t>รวม: ๒๙๔-๕๐๐ ล้านบาท ปรับเป็น ๓๐๐-๕๐๐ ล้านบาท</w:t>
      </w:r>
    </w:p>
    <w:p>
      <w:pPr>
        <w:spacing w:line="240" w:lineRule="auto" w:after="0"/>
        <w:ind w:firstLine="720"/>
        <w:jc w:val="both"/>
      </w:pPr>
      <w:r>
        <w:rPr>
          <w:rFonts w:ascii="TH Sarabun New" w:hAnsi="TH Sarabun New" w:cs="TH Sarabun New" w:eastAsia="TH Sarabun New"/>
          <w:b w:val="0"/>
          <w:i w:val="0"/>
          <w:sz w:val="32"/>
          <w:szCs w:val="32"/>
        </w:rPr>
        <w:t>Co-Investment Structure: รัฐสนับสนุน ๕๐-๗๐% (๑๘๐-๓๕๐ ล้านบาท) + BTSC ลงทุน ๓๐-๕๐% (๙๐-๑๕๐ ล้านบาท) ผูกกับสัญญาสัมปทานปี ๒๕๗๒</w:t>
      </w:r>
    </w:p>
    <w:p>
      <w:pPr>
        <w:spacing w:before="240" w:after="120" w:line="240" w:lineRule="auto"/>
        <w:ind w:left="0"/>
        <w:jc w:val="left"/>
      </w:pPr>
      <w:r>
        <w:rPr>
          <w:rFonts w:ascii="TH Sarabun New" w:hAnsi="TH Sarabun New" w:cs="TH Sarabun New" w:eastAsia="TH Sarabun New"/>
          <w:b/>
          <w:i w:val="0"/>
          <w:sz w:val="36"/>
          <w:szCs w:val="36"/>
        </w:rPr>
        <w:t>ข.๒ Feeder Bus EV ๑๕๐ คัน (๙๐๐-๑,๒๐๐ ล้านบาท)</w:t>
      </w:r>
    </w:p>
    <w:p>
      <w:pPr>
        <w:spacing w:line="240" w:lineRule="auto" w:after="0"/>
        <w:ind w:firstLine="720"/>
        <w:jc w:val="both"/>
      </w:pPr>
      <w:r>
        <w:rPr>
          <w:rFonts w:ascii="TH Sarabun New" w:hAnsi="TH Sarabun New" w:cs="TH Sarabun New" w:eastAsia="TH Sarabun New"/>
          <w:b w:val="0"/>
          <w:i w:val="0"/>
          <w:sz w:val="32"/>
          <w:szCs w:val="32"/>
        </w:rPr>
        <w:t>ขั้นตอนการคำนวณมีดังนี้</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คำนวณ fleet size: (๓ สาย × ๓๐ กม./สาย × ๒ ทิศ) ÷ (๒ กม. headway) × ๑.๔ (peak factor) = ๑๒๖ คัน + spare ๒๐% = ๑๕๐ คัน</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ค่ารถ EV bus: ๑๕๐ คัน × ๖ ล้านบาท/คัน = ๙๐๐ ล้านบาท</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Charging infrastructure: ๖๐-๑๐๐ ล้านบาท</w:t>
      </w:r>
    </w:p>
    <w:p>
      <w:pPr>
        <w:spacing w:line="240" w:lineRule="auto" w:after="80"/>
        <w:ind w:left="1134" w:hanging="425"/>
      </w:pPr>
      <w:r>
        <w:rPr>
          <w:rFonts w:ascii="TH Sarabun New" w:hAnsi="TH Sarabun New" w:cs="TH Sarabun New" w:eastAsia="TH Sarabun New"/>
          <w:b/>
          <w:i w:val="0"/>
          <w:sz w:val="32"/>
          <w:szCs w:val="32"/>
        </w:rPr>
        <w:t xml:space="preserve">๔.  </w:t>
      </w:r>
      <w:r>
        <w:rPr>
          <w:rFonts w:ascii="TH Sarabun New" w:hAnsi="TH Sarabun New" w:cs="TH Sarabun New" w:eastAsia="TH Sarabun New"/>
          <w:b w:val="0"/>
          <w:i w:val="0"/>
          <w:sz w:val="32"/>
          <w:szCs w:val="32"/>
        </w:rPr>
        <w:t>ROS + ITS: ๒๐-๓๐ ล้านบาท</w:t>
      </w:r>
    </w:p>
    <w:p>
      <w:pPr>
        <w:spacing w:line="240" w:lineRule="auto" w:after="80"/>
        <w:ind w:left="1134" w:hanging="425"/>
      </w:pPr>
      <w:r>
        <w:rPr>
          <w:rFonts w:ascii="TH Sarabun New" w:hAnsi="TH Sarabun New" w:cs="TH Sarabun New" w:eastAsia="TH Sarabun New"/>
          <w:b/>
          <w:i w:val="0"/>
          <w:sz w:val="32"/>
          <w:szCs w:val="32"/>
        </w:rPr>
        <w:t xml:space="preserve">๕.  </w:t>
      </w:r>
      <w:r>
        <w:rPr>
          <w:rFonts w:ascii="TH Sarabun New" w:hAnsi="TH Sarabun New" w:cs="TH Sarabun New" w:eastAsia="TH Sarabun New"/>
          <w:b w:val="0"/>
          <w:i w:val="0"/>
          <w:sz w:val="32"/>
          <w:szCs w:val="32"/>
        </w:rPr>
        <w:t>Driver training + safety: ๑๐-๑๕ ล้านบาท</w:t>
      </w:r>
    </w:p>
    <w:p>
      <w:pPr>
        <w:spacing w:line="240" w:lineRule="auto" w:after="80"/>
        <w:ind w:left="1134" w:hanging="425"/>
      </w:pPr>
      <w:r>
        <w:rPr>
          <w:rFonts w:ascii="TH Sarabun New" w:hAnsi="TH Sarabun New" w:cs="TH Sarabun New" w:eastAsia="TH Sarabun New"/>
          <w:b/>
          <w:i w:val="0"/>
          <w:sz w:val="32"/>
          <w:szCs w:val="32"/>
        </w:rPr>
        <w:t xml:space="preserve">๖.  </w:t>
      </w:r>
      <w:r>
        <w:rPr>
          <w:rFonts w:ascii="TH Sarabun New" w:hAnsi="TH Sarabun New" w:cs="TH Sarabun New" w:eastAsia="TH Sarabun New"/>
          <w:b w:val="0"/>
          <w:i w:val="0"/>
          <w:sz w:val="32"/>
          <w:szCs w:val="32"/>
        </w:rPr>
        <w:t>Operating subsidy ปีแรก: ๕๐-๑๕๐ ล้านบาท</w:t>
      </w:r>
    </w:p>
    <w:p>
      <w:pPr>
        <w:spacing w:line="240" w:lineRule="auto" w:after="80"/>
        <w:ind w:left="1134" w:hanging="425"/>
      </w:pPr>
      <w:r>
        <w:rPr>
          <w:rFonts w:ascii="TH Sarabun New" w:hAnsi="TH Sarabun New" w:cs="TH Sarabun New" w:eastAsia="TH Sarabun New"/>
          <w:b/>
          <w:i w:val="0"/>
          <w:sz w:val="32"/>
          <w:szCs w:val="32"/>
        </w:rPr>
        <w:t xml:space="preserve">๗.  </w:t>
      </w:r>
      <w:r>
        <w:rPr>
          <w:rFonts w:ascii="TH Sarabun New" w:hAnsi="TH Sarabun New" w:cs="TH Sarabun New" w:eastAsia="TH Sarabun New"/>
          <w:b w:val="0"/>
          <w:i w:val="0"/>
          <w:sz w:val="32"/>
          <w:szCs w:val="32"/>
        </w:rPr>
        <w:t>รวม: ๑,๐๔๐-๑,๑๙๕ ล้านบาท ปรับเป็น ๙๐๐-๑,๒๐๐ ล้านบาท</w:t>
      </w:r>
    </w:p>
    <w:p>
      <w:pPr>
        <w:spacing w:before="240" w:after="120" w:line="240" w:lineRule="auto"/>
        <w:ind w:left="0"/>
        <w:jc w:val="left"/>
      </w:pPr>
      <w:r>
        <w:rPr>
          <w:rFonts w:ascii="TH Sarabun New" w:hAnsi="TH Sarabun New" w:cs="TH Sarabun New" w:eastAsia="TH Sarabun New"/>
          <w:b/>
          <w:i w:val="0"/>
          <w:sz w:val="36"/>
          <w:szCs w:val="36"/>
        </w:rPr>
        <w:t>ข.๓ Commuter Tax Deduction (๑,๐๐๐-๑,๕๐๐ ล้านบาท/ปี)</w:t>
      </w:r>
    </w:p>
    <w:p>
      <w:pPr>
        <w:spacing w:line="240" w:lineRule="auto" w:after="0"/>
        <w:ind w:firstLine="720"/>
        <w:jc w:val="both"/>
      </w:pPr>
      <w:r>
        <w:rPr>
          <w:rFonts w:ascii="TH Sarabun New" w:hAnsi="TH Sarabun New" w:cs="TH Sarabun New" w:eastAsia="TH Sarabun New"/>
          <w:b w:val="0"/>
          <w:i w:val="0"/>
          <w:sz w:val="32"/>
          <w:szCs w:val="32"/>
        </w:rPr>
        <w:t>ขั้นตอนการคำนวณมีดังนี้</w:t>
      </w:r>
    </w:p>
    <w:p>
      <w:pPr>
        <w:spacing w:line="240" w:lineRule="auto" w:after="80"/>
        <w:ind w:left="1134" w:hanging="425"/>
      </w:pPr>
      <w:r>
        <w:rPr>
          <w:rFonts w:ascii="TH Sarabun New" w:hAnsi="TH Sarabun New" w:cs="TH Sarabun New" w:eastAsia="TH Sarabun New"/>
          <w:b/>
          <w:i w:val="0"/>
          <w:sz w:val="32"/>
          <w:szCs w:val="32"/>
        </w:rPr>
        <w:t xml:space="preserve">๑.  </w:t>
      </w:r>
      <w:r>
        <w:rPr>
          <w:rFonts w:ascii="TH Sarabun New" w:hAnsi="TH Sarabun New" w:cs="TH Sarabun New" w:eastAsia="TH Sarabun New"/>
          <w:b w:val="0"/>
          <w:i w:val="0"/>
          <w:sz w:val="32"/>
          <w:szCs w:val="32"/>
        </w:rPr>
        <w:t>ประมาณการ Take-up Rate: พนักงานในนิคม ๑๐๐,๐๐๐ คน × take-up rate ๓๐-๔๐% = ๓๐,๐๐๐-๔๐,๐๐๐ คน</w:t>
      </w:r>
    </w:p>
    <w:p>
      <w:pPr>
        <w:spacing w:line="240" w:lineRule="auto" w:after="80"/>
        <w:ind w:left="1134" w:hanging="425"/>
      </w:pPr>
      <w:r>
        <w:rPr>
          <w:rFonts w:ascii="TH Sarabun New" w:hAnsi="TH Sarabun New" w:cs="TH Sarabun New" w:eastAsia="TH Sarabun New"/>
          <w:b/>
          <w:i w:val="0"/>
          <w:sz w:val="32"/>
          <w:szCs w:val="32"/>
        </w:rPr>
        <w:t xml:space="preserve">๒.  </w:t>
      </w:r>
      <w:r>
        <w:rPr>
          <w:rFonts w:ascii="TH Sarabun New" w:hAnsi="TH Sarabun New" w:cs="TH Sarabun New" w:eastAsia="TH Sarabun New"/>
          <w:b w:val="0"/>
          <w:i w:val="0"/>
          <w:sz w:val="32"/>
          <w:szCs w:val="32"/>
        </w:rPr>
        <w:t>ภาษีที่ลดได้ต่อคน: ๑๕,๐๐๐ บาท × อัตราภาษีเฉลี่ย ๒๐-๓๐% = ๓,๐๐๐-๔,๕๐๐ บาท/คน/ปี</w:t>
      </w:r>
    </w:p>
    <w:p>
      <w:pPr>
        <w:spacing w:line="240" w:lineRule="auto" w:after="80"/>
        <w:ind w:left="1134" w:hanging="425"/>
      </w:pPr>
      <w:r>
        <w:rPr>
          <w:rFonts w:ascii="TH Sarabun New" w:hAnsi="TH Sarabun New" w:cs="TH Sarabun New" w:eastAsia="TH Sarabun New"/>
          <w:b/>
          <w:i w:val="0"/>
          <w:sz w:val="32"/>
          <w:szCs w:val="32"/>
        </w:rPr>
        <w:t xml:space="preserve">๓.  </w:t>
      </w:r>
      <w:r>
        <w:rPr>
          <w:rFonts w:ascii="TH Sarabun New" w:hAnsi="TH Sarabun New" w:cs="TH Sarabun New" w:eastAsia="TH Sarabun New"/>
          <w:b w:val="0"/>
          <w:i w:val="0"/>
          <w:sz w:val="32"/>
          <w:szCs w:val="32"/>
        </w:rPr>
        <w:t>รวมต้นทุนภาษีของรัฐ: ๓๐,๐๐๐ × ๓,๐๐๐ = ๙๐ ล้านบาท ถึง ๔๐,๐๐๐ × ๔,๕๐๐ = ๑๘๐ ล้านบาท</w:t>
      </w:r>
    </w:p>
    <w:p>
      <w:pPr>
        <w:spacing w:line="240" w:lineRule="auto" w:after="80"/>
        <w:ind w:left="1134" w:hanging="425"/>
      </w:pPr>
      <w:r>
        <w:rPr>
          <w:rFonts w:ascii="TH Sarabun New" w:hAnsi="TH Sarabun New" w:cs="TH Sarabun New" w:eastAsia="TH Sarabun New"/>
          <w:b/>
          <w:i w:val="0"/>
          <w:sz w:val="32"/>
          <w:szCs w:val="32"/>
        </w:rPr>
        <w:t xml:space="preserve">๔.  </w:t>
      </w:r>
      <w:r>
        <w:rPr>
          <w:rFonts w:ascii="TH Sarabun New" w:hAnsi="TH Sarabun New" w:cs="TH Sarabun New" w:eastAsia="TH Sarabun New"/>
          <w:b w:val="0"/>
          <w:i w:val="0"/>
          <w:sz w:val="32"/>
          <w:szCs w:val="32"/>
        </w:rPr>
        <w:t>ขยายฐานครอบคลุม subcontractor + ครอบครัว × ๘-๑๐ เท่า</w:t>
      </w:r>
    </w:p>
    <w:p>
      <w:pPr>
        <w:spacing w:line="240" w:lineRule="auto" w:after="80"/>
        <w:ind w:left="1134" w:hanging="425"/>
      </w:pPr>
      <w:r>
        <w:rPr>
          <w:rFonts w:ascii="TH Sarabun New" w:hAnsi="TH Sarabun New" w:cs="TH Sarabun New" w:eastAsia="TH Sarabun New"/>
          <w:b/>
          <w:i w:val="0"/>
          <w:sz w:val="32"/>
          <w:szCs w:val="32"/>
        </w:rPr>
        <w:t xml:space="preserve">๕.  </w:t>
      </w:r>
      <w:r>
        <w:rPr>
          <w:rFonts w:ascii="TH Sarabun New" w:hAnsi="TH Sarabun New" w:cs="TH Sarabun New" w:eastAsia="TH Sarabun New"/>
          <w:b w:val="0"/>
          <w:i w:val="0"/>
          <w:sz w:val="32"/>
          <w:szCs w:val="32"/>
        </w:rPr>
        <w:t>รวม: ๑,๐๐๐-๑,๕๐๐ ล้านบาท/ปี</w:t>
      </w:r>
    </w:p>
    <w:p>
      <w:r>
        <w:br w:type="page"/>
      </w:r>
    </w:p>
    <w:p>
      <w:pPr>
        <w:spacing w:line="240" w:lineRule="auto" w:before="0" w:after="480"/>
        <w:jc w:val="center"/>
      </w:pPr>
      <w:r>
        <w:rPr>
          <w:rFonts w:ascii="TH Sarabun New" w:hAnsi="TH Sarabun New" w:cs="TH Sarabun New" w:eastAsia="TH Sarabun New"/>
          <w:b/>
          <w:i w:val="0"/>
          <w:sz w:val="40"/>
          <w:szCs w:val="40"/>
        </w:rPr>
        <w:t>ประวัติผู้จัดทำ</w:t>
      </w:r>
    </w:p>
    <w:p>
      <w:pPr>
        <w:spacing w:line="360" w:lineRule="auto" w:after="160"/>
        <w:ind w:left="1134" w:hanging="850"/>
      </w:pPr>
      <w:r>
        <w:rPr>
          <w:rFonts w:ascii="TH Sarabun New" w:hAnsi="TH Sarabun New" w:cs="TH Sarabun New" w:eastAsia="TH Sarabun New"/>
          <w:b/>
          <w:i w:val="0"/>
          <w:sz w:val="32"/>
          <w:szCs w:val="32"/>
        </w:rPr>
        <w:t xml:space="preserve">ชื่อ-นามสกุล : </w:t>
      </w:r>
      <w:r>
        <w:rPr>
          <w:rFonts w:ascii="TH Sarabun New" w:hAnsi="TH Sarabun New" w:cs="TH Sarabun New" w:eastAsia="TH Sarabun New"/>
          <w:b w:val="0"/>
          <w:i w:val="0"/>
          <w:sz w:val="32"/>
          <w:szCs w:val="32"/>
        </w:rPr>
        <w:t>__________________________________________</w:t>
      </w:r>
    </w:p>
    <w:p>
      <w:pPr>
        <w:spacing w:line="360" w:lineRule="auto" w:after="160"/>
        <w:ind w:left="1134" w:hanging="850"/>
      </w:pPr>
      <w:r>
        <w:rPr>
          <w:rFonts w:ascii="TH Sarabun New" w:hAnsi="TH Sarabun New" w:cs="TH Sarabun New" w:eastAsia="TH Sarabun New"/>
          <w:b/>
          <w:i w:val="0"/>
          <w:sz w:val="32"/>
          <w:szCs w:val="32"/>
        </w:rPr>
        <w:t xml:space="preserve">ตำแหน่งปัจจุบัน : </w:t>
      </w:r>
      <w:r>
        <w:rPr>
          <w:rFonts w:ascii="TH Sarabun New" w:hAnsi="TH Sarabun New" w:cs="TH Sarabun New" w:eastAsia="TH Sarabun New"/>
          <w:b w:val="0"/>
          <w:i w:val="0"/>
          <w:sz w:val="32"/>
          <w:szCs w:val="32"/>
        </w:rPr>
        <w:t>__________________________________________</w:t>
      </w:r>
    </w:p>
    <w:p>
      <w:pPr>
        <w:spacing w:line="360" w:lineRule="auto" w:after="160"/>
        <w:ind w:left="1134" w:hanging="850"/>
      </w:pPr>
      <w:r>
        <w:rPr>
          <w:rFonts w:ascii="TH Sarabun New" w:hAnsi="TH Sarabun New" w:cs="TH Sarabun New" w:eastAsia="TH Sarabun New"/>
          <w:b/>
          <w:i w:val="0"/>
          <w:sz w:val="32"/>
          <w:szCs w:val="32"/>
        </w:rPr>
        <w:t xml:space="preserve">หน่วยงาน : </w:t>
      </w:r>
      <w:r>
        <w:rPr>
          <w:rFonts w:ascii="TH Sarabun New" w:hAnsi="TH Sarabun New" w:cs="TH Sarabun New" w:eastAsia="TH Sarabun New"/>
          <w:b w:val="0"/>
          <w:i w:val="0"/>
          <w:sz w:val="32"/>
          <w:szCs w:val="32"/>
        </w:rPr>
        <w:t>__________________________________________</w:t>
      </w:r>
    </w:p>
    <w:p>
      <w:pPr>
        <w:spacing w:line="360" w:lineRule="auto" w:after="160"/>
        <w:ind w:left="1134" w:hanging="850"/>
      </w:pPr>
      <w:r>
        <w:rPr>
          <w:rFonts w:ascii="TH Sarabun New" w:hAnsi="TH Sarabun New" w:cs="TH Sarabun New" w:eastAsia="TH Sarabun New"/>
          <w:b/>
          <w:i w:val="0"/>
          <w:sz w:val="32"/>
          <w:szCs w:val="32"/>
        </w:rPr>
        <w:t xml:space="preserve">วุฒิการศึกษาสูงสุด : </w:t>
      </w:r>
      <w:r>
        <w:rPr>
          <w:rFonts w:ascii="TH Sarabun New" w:hAnsi="TH Sarabun New" w:cs="TH Sarabun New" w:eastAsia="TH Sarabun New"/>
          <w:b w:val="0"/>
          <w:i w:val="0"/>
          <w:sz w:val="32"/>
          <w:szCs w:val="32"/>
        </w:rPr>
        <w:t>__________________________________________</w:t>
      </w:r>
    </w:p>
    <w:p>
      <w:pPr>
        <w:spacing w:line="360" w:lineRule="auto" w:after="160"/>
        <w:ind w:left="1134" w:hanging="850"/>
      </w:pPr>
      <w:r>
        <w:rPr>
          <w:rFonts w:ascii="TH Sarabun New" w:hAnsi="TH Sarabun New" w:cs="TH Sarabun New" w:eastAsia="TH Sarabun New"/>
          <w:b/>
          <w:i w:val="0"/>
          <w:sz w:val="32"/>
          <w:szCs w:val="32"/>
        </w:rPr>
        <w:t xml:space="preserve">สถาบันการศึกษา : </w:t>
      </w:r>
      <w:r>
        <w:rPr>
          <w:rFonts w:ascii="TH Sarabun New" w:hAnsi="TH Sarabun New" w:cs="TH Sarabun New" w:eastAsia="TH Sarabun New"/>
          <w:b w:val="0"/>
          <w:i w:val="0"/>
          <w:sz w:val="32"/>
          <w:szCs w:val="32"/>
        </w:rPr>
        <w:t>__________________________________________</w:t>
      </w:r>
    </w:p>
    <w:p>
      <w:pPr>
        <w:spacing w:line="360" w:lineRule="auto" w:after="160"/>
        <w:ind w:left="1134" w:hanging="850"/>
      </w:pPr>
      <w:r>
        <w:rPr>
          <w:rFonts w:ascii="TH Sarabun New" w:hAnsi="TH Sarabun New" w:cs="TH Sarabun New" w:eastAsia="TH Sarabun New"/>
          <w:b/>
          <w:i w:val="0"/>
          <w:sz w:val="32"/>
          <w:szCs w:val="32"/>
        </w:rPr>
        <w:t xml:space="preserve">ประสบการณ์การทำงาน : </w:t>
      </w:r>
      <w:r>
        <w:rPr>
          <w:rFonts w:ascii="TH Sarabun New" w:hAnsi="TH Sarabun New" w:cs="TH Sarabun New" w:eastAsia="TH Sarabun New"/>
          <w:b w:val="0"/>
          <w:i w:val="0"/>
          <w:sz w:val="32"/>
          <w:szCs w:val="32"/>
        </w:rPr>
        <w:t>__________________________________________</w:t>
      </w:r>
    </w:p>
    <w:p>
      <w:pPr>
        <w:spacing w:line="360" w:lineRule="auto" w:after="160"/>
        <w:ind w:left="1134" w:hanging="850"/>
      </w:pPr>
      <w:r>
        <w:rPr>
          <w:rFonts w:ascii="TH Sarabun New" w:hAnsi="TH Sarabun New" w:cs="TH Sarabun New" w:eastAsia="TH Sarabun New"/>
          <w:b/>
          <w:i w:val="0"/>
          <w:sz w:val="32"/>
          <w:szCs w:val="32"/>
        </w:rPr>
        <w:t xml:space="preserve">ผลงานวิชาการที่ผ่านมา : </w:t>
      </w:r>
      <w:r>
        <w:rPr>
          <w:rFonts w:ascii="TH Sarabun New" w:hAnsi="TH Sarabun New" w:cs="TH Sarabun New" w:eastAsia="TH Sarabun New"/>
          <w:b w:val="0"/>
          <w:i w:val="0"/>
          <w:sz w:val="32"/>
          <w:szCs w:val="32"/>
        </w:rPr>
        <w:t>__________________________________________</w:t>
      </w:r>
    </w:p>
    <w:p>
      <w:pPr>
        <w:spacing w:line="360" w:lineRule="auto" w:after="160"/>
        <w:ind w:left="1134" w:hanging="850"/>
      </w:pPr>
      <w:r>
        <w:rPr>
          <w:rFonts w:ascii="TH Sarabun New" w:hAnsi="TH Sarabun New" w:cs="TH Sarabun New" w:eastAsia="TH Sarabun New"/>
          <w:b/>
          <w:i w:val="0"/>
          <w:sz w:val="32"/>
          <w:szCs w:val="32"/>
        </w:rPr>
        <w:t xml:space="preserve">โทรศัพท์ติดต่อ : </w:t>
      </w:r>
      <w:r>
        <w:rPr>
          <w:rFonts w:ascii="TH Sarabun New" w:hAnsi="TH Sarabun New" w:cs="TH Sarabun New" w:eastAsia="TH Sarabun New"/>
          <w:b w:val="0"/>
          <w:i w:val="0"/>
          <w:sz w:val="32"/>
          <w:szCs w:val="32"/>
        </w:rPr>
        <w:t>__________________________________________</w:t>
      </w:r>
    </w:p>
    <w:p>
      <w:pPr>
        <w:spacing w:line="360" w:lineRule="auto" w:after="160"/>
        <w:ind w:left="1134" w:hanging="850"/>
      </w:pPr>
      <w:r>
        <w:rPr>
          <w:rFonts w:ascii="TH Sarabun New" w:hAnsi="TH Sarabun New" w:cs="TH Sarabun New" w:eastAsia="TH Sarabun New"/>
          <w:b/>
          <w:i w:val="0"/>
          <w:sz w:val="32"/>
          <w:szCs w:val="32"/>
        </w:rPr>
        <w:t xml:space="preserve">ไปรษณีย์อิเล็กทรอนิกส์ : </w:t>
      </w:r>
      <w:r>
        <w:rPr>
          <w:rFonts w:ascii="TH Sarabun New" w:hAnsi="TH Sarabun New" w:cs="TH Sarabun New" w:eastAsia="TH Sarabun New"/>
          <w:b w:val="0"/>
          <w:i w:val="0"/>
          <w:sz w:val="32"/>
          <w:szCs w:val="32"/>
        </w:rPr>
        <w:t>__________________________________________</w:t>
      </w:r>
    </w:p>
    <w:p>
      <w:pPr>
        <w:spacing w:line="240" w:lineRule="auto" w:before="0" w:after="400"/>
        <w:jc w:val="left"/>
      </w:pPr>
    </w:p>
    <w:p>
      <w:pPr>
        <w:spacing w:line="240" w:lineRule="auto" w:after="0"/>
        <w:ind w:firstLine="720"/>
        <w:jc w:val="both"/>
      </w:pPr>
      <w:r>
        <w:rPr>
          <w:rFonts w:ascii="TH Sarabun New" w:hAnsi="TH Sarabun New" w:cs="TH Sarabun New" w:eastAsia="TH Sarabun New"/>
          <w:b w:val="0"/>
          <w:i w:val="0"/>
          <w:sz w:val="32"/>
          <w:szCs w:val="32"/>
        </w:rPr>
        <w:t>รายงานทางวิชาการฉบับนี้ จัดทำขึ้นในนามของกลุ่มหลักสูตรนักบริหารระดับสูง กระทรวงคมนาคม (นบส.คค.) รุ่นที่ ๘ พุทธศักราช ๒๕๖๙ โดยอาศัยการศึกษา ค้นคว้า วิเคราะห์ข้อมูลจากเอกสารวิจัยและกรณีศึกษาทั้งในและต่างประเทศ ผ่านการประมวลผลโดยคณะผู้จัดทำ เพื่อนำเสนอแนวทางการพัฒนาระบบขนส่งสาธารณะของประเทศไทยภายใต้กรอบ MOT Mobility</w:t>
      </w:r>
    </w:p>
    <w:p>
      <w:pPr>
        <w:spacing w:line="240" w:lineRule="auto" w:before="0" w:after="400"/>
        <w:jc w:val="left"/>
      </w:pPr>
    </w:p>
    <w:p>
      <w:pPr>
        <w:spacing w:line="240" w:lineRule="auto" w:before="0" w:after="0"/>
        <w:jc w:val="center"/>
      </w:pPr>
      <w:r>
        <w:rPr>
          <w:rFonts w:ascii="TH Sarabun New" w:hAnsi="TH Sarabun New" w:cs="TH Sarabun New" w:eastAsia="TH Sarabun New"/>
          <w:b w:val="0"/>
          <w:i/>
          <w:color w:val="595959"/>
          <w:sz w:val="32"/>
          <w:szCs w:val="32"/>
        </w:rPr>
        <w:t>— สิ้นสุดเอกสาร —</w:t>
      </w:r>
    </w:p>
    <w:sectPr w:rsidR="00FC693F" w:rsidRPr="0006063C" w:rsidSect="00034616">
      <w:footerReference w:type="default" r:id="rId10"/>
      <w:headerReference w:type="default" r:id="rId11"/>
      <w:pgSz w:w="11906" w:h="16838"/>
      <w:pgMar w:top="2160" w:right="1440" w:bottom="1440" w:left="2160" w:header="720" w:footer="720" w:gutter="0"/>
      <w:cols w:space="720"/>
      <w:docGrid w:linePitch="360"/>
      <w:pgNumType w:fmt="thaiNumbers"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line="240" w:lineRule="auto"/>
      <w:jc w:val="center"/>
    </w:pPr>
    <w:r>
      <w:rPr>
        <w:rFonts w:ascii="TH Sarabun New" w:hAnsi="TH Sarabun New" w:cs="TH Sarabun New" w:eastAsia="TH Sarabun New"/>
        <w:b w:val="0"/>
        <w:i w:val="0"/>
        <w:sz w:val="28"/>
        <w:szCs w:val="28"/>
      </w:rPr>
      <w:fldChar w:fldCharType="begin"/>
      <w:instrText>PAGE</w:instrText>
      <w:fldChar w:fldCharType="end"/>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spacing w:line="240" w:lineRule="auto"/>
      <w:jc w:val="center"/>
    </w:pPr>
    <w:r>
      <w:rPr>
        <w:rFonts w:ascii="TH Sarabun New" w:hAnsi="TH Sarabun New" w:cs="TH Sarabun New" w:eastAsia="TH Sarabun New"/>
        <w:b w:val="0"/>
        <w:i w:val="0"/>
        <w:sz w:val="28"/>
        <w:szCs w:val="28"/>
      </w:rPr>
      <w:fldChar w:fldCharType="begin"/>
      <w:instrText>PAGE</w:instrText>
      <w:fldChar w:fldCharType="end"/>
    </w: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line="240" w:lineRule="auto"/>
      <w:jc w:val="right"/>
    </w:pPr>
    <w:r>
      <w:rPr>
        <w:rFonts w:ascii="TH Sarabun New" w:hAnsi="TH Sarabun New" w:cs="TH Sarabun New" w:eastAsia="TH Sarabun New"/>
        <w:b w:val="0"/>
        <w:i/>
        <w:color w:val="595959"/>
        <w:sz w:val="24"/>
        <w:szCs w:val="24"/>
      </w:rPr>
      <w:t>MOT Mobility · บูรณาการคมนาคม นำร่องสมุทรปราการ</w:t>
    </w:r>
  </w:p>
</w:hdr>
</file>

<file path=word/header2.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H Sarabun New" w:hAnsi="TH Sarabun New"/>
      <w:sz w:val="32"/>
      <w:rFonts w:ascii="TH Sarabun New" w:hAnsi="TH Sarabun New" w:cs="TH Sarabun New" w:eastAsia="TH Sarabun New"/>
      <w:sz w:val="32"/>
      <w:szCs w:val="3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